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15" w:rsidRPr="00000115" w:rsidRDefault="00000115">
      <w:pPr>
        <w:spacing w:after="0" w:line="240" w:lineRule="auto"/>
        <w:jc w:val="center"/>
        <w:rPr>
          <w:rFonts w:ascii="Times New Roman" w:hAnsi="Times New Roman" w:cs="Times New Roman"/>
          <w:b/>
          <w:bCs/>
          <w:color w:val="000000"/>
        </w:rPr>
      </w:pPr>
      <w:r w:rsidRPr="00000115">
        <w:rPr>
          <w:rFonts w:ascii="Times New Roman" w:hAnsi="Times New Roman" w:cs="Times New Roman"/>
          <w:b/>
          <w:bCs/>
          <w:color w:val="000000"/>
          <w:u w:val="single"/>
        </w:rPr>
        <w:t>Secretary’s Orders 3347, 3356 and 3366</w:t>
      </w:r>
    </w:p>
    <w:p w:rsidR="009D37BF" w:rsidRPr="00000115" w:rsidRDefault="00000115">
      <w:pPr>
        <w:spacing w:after="0" w:line="240" w:lineRule="auto"/>
        <w:jc w:val="center"/>
        <w:rPr>
          <w:rFonts w:ascii="Times New Roman" w:eastAsia="Times New Roman" w:hAnsi="Times New Roman" w:cs="Times New Roman"/>
          <w:color w:val="000000"/>
        </w:rPr>
      </w:pPr>
      <w:r w:rsidRPr="00000115">
        <w:rPr>
          <w:rFonts w:ascii="Times New Roman" w:eastAsia="Times New Roman" w:hAnsi="Times New Roman" w:cs="Times New Roman"/>
          <w:b/>
          <w:color w:val="000000"/>
          <w:u w:val="single"/>
        </w:rPr>
        <w:t>National Recreation</w:t>
      </w:r>
      <w:r>
        <w:rPr>
          <w:rFonts w:ascii="Times New Roman" w:eastAsia="Times New Roman" w:hAnsi="Times New Roman" w:cs="Times New Roman"/>
          <w:b/>
          <w:color w:val="000000"/>
          <w:u w:val="single"/>
        </w:rPr>
        <w:t>, TTM and NCL</w:t>
      </w:r>
      <w:r w:rsidRPr="00000115">
        <w:rPr>
          <w:rFonts w:ascii="Times New Roman" w:eastAsia="Times New Roman" w:hAnsi="Times New Roman" w:cs="Times New Roman"/>
          <w:b/>
          <w:color w:val="000000"/>
          <w:u w:val="single"/>
        </w:rPr>
        <w:t xml:space="preserve"> Training for Program Managers</w:t>
      </w:r>
      <w:r w:rsidR="007603DA" w:rsidRPr="00000115">
        <w:rPr>
          <w:rFonts w:ascii="Times New Roman" w:eastAsia="Times New Roman" w:hAnsi="Times New Roman" w:cs="Times New Roman"/>
          <w:b/>
          <w:color w:val="000000"/>
          <w:u w:val="single"/>
        </w:rPr>
        <w:t xml:space="preserve"> Update 5/</w:t>
      </w:r>
      <w:r w:rsidRPr="00000115">
        <w:rPr>
          <w:rFonts w:ascii="Times New Roman" w:eastAsia="Times New Roman" w:hAnsi="Times New Roman" w:cs="Times New Roman"/>
          <w:b/>
          <w:color w:val="000000"/>
          <w:u w:val="single"/>
        </w:rPr>
        <w:t>23</w:t>
      </w:r>
      <w:r w:rsidR="007603DA" w:rsidRPr="00000115">
        <w:rPr>
          <w:rFonts w:ascii="Times New Roman" w:eastAsia="Times New Roman" w:hAnsi="Times New Roman" w:cs="Times New Roman"/>
          <w:b/>
          <w:color w:val="000000"/>
          <w:u w:val="single"/>
        </w:rPr>
        <w:t>/2018</w:t>
      </w:r>
    </w:p>
    <w:p w:rsidR="009D37BF" w:rsidRDefault="009D37BF">
      <w:pPr>
        <w:spacing w:after="0" w:line="240" w:lineRule="auto"/>
        <w:rPr>
          <w:rFonts w:ascii="Times New Roman" w:eastAsia="Times New Roman" w:hAnsi="Times New Roman" w:cs="Times New Roman"/>
          <w:color w:val="000000"/>
        </w:rPr>
      </w:pPr>
    </w:p>
    <w:p w:rsidR="009D37BF" w:rsidRDefault="007603DA">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u w:val="single"/>
        </w:rPr>
        <w:t xml:space="preserve">Key Messages </w:t>
      </w:r>
    </w:p>
    <w:p w:rsidR="009D37BF" w:rsidRDefault="009D37BF">
      <w:pPr>
        <w:spacing w:after="0" w:line="240" w:lineRule="auto"/>
        <w:rPr>
          <w:rFonts w:ascii="Times New Roman" w:eastAsia="Times New Roman" w:hAnsi="Times New Roman" w:cs="Times New Roman"/>
        </w:rPr>
      </w:pPr>
    </w:p>
    <w:p w:rsidR="009D37BF" w:rsidRDefault="007603DA">
      <w:pPr>
        <w:numPr>
          <w:ilvl w:val="0"/>
          <w:numId w:val="2"/>
        </w:numPr>
        <w:spacing w:after="0" w:line="240" w:lineRule="auto"/>
        <w:rPr>
          <w:color w:val="000000"/>
        </w:rPr>
      </w:pPr>
      <w:r>
        <w:rPr>
          <w:rFonts w:ascii="Times New Roman" w:eastAsia="Times New Roman" w:hAnsi="Times New Roman" w:cs="Times New Roman"/>
          <w:color w:val="000000"/>
        </w:rPr>
        <w:t xml:space="preserve">The BLM has a wide variety of projects, programs and initiatives planned or underway both in the Field, and also at the National Policy Level to Implement SO </w:t>
      </w:r>
      <w:r w:rsidR="00000115">
        <w:rPr>
          <w:rFonts w:ascii="Times New Roman" w:eastAsia="Times New Roman" w:hAnsi="Times New Roman" w:cs="Times New Roman"/>
          <w:color w:val="000000"/>
        </w:rPr>
        <w:t>3347, 3356 and3366</w:t>
      </w:r>
      <w:r>
        <w:rPr>
          <w:rFonts w:ascii="Times New Roman" w:eastAsia="Times New Roman" w:hAnsi="Times New Roman" w:cs="Times New Roman"/>
          <w:color w:val="000000"/>
        </w:rPr>
        <w:t>.  WO-250 is coordinating, and WO-400, 230, and 350 are all involved.</w:t>
      </w:r>
    </w:p>
    <w:p w:rsidR="009D37BF" w:rsidRDefault="009D37BF">
      <w:pPr>
        <w:spacing w:after="0" w:line="240" w:lineRule="auto"/>
        <w:rPr>
          <w:rFonts w:ascii="Times New Roman" w:eastAsia="Times New Roman" w:hAnsi="Times New Roman" w:cs="Times New Roman"/>
        </w:rPr>
      </w:pPr>
    </w:p>
    <w:p w:rsidR="009D37BF" w:rsidRDefault="007603DA">
      <w:pPr>
        <w:numPr>
          <w:ilvl w:val="0"/>
          <w:numId w:val="3"/>
        </w:numPr>
        <w:spacing w:after="0" w:line="240" w:lineRule="auto"/>
        <w:rPr>
          <w:color w:val="000000"/>
        </w:rPr>
      </w:pPr>
      <w:r>
        <w:rPr>
          <w:rFonts w:ascii="Times New Roman" w:eastAsia="Times New Roman" w:hAnsi="Times New Roman" w:cs="Times New Roman"/>
          <w:color w:val="000000"/>
        </w:rPr>
        <w:t>By aggregating information about all the work that has been done that contributes to accomplishment of these goals, we are trying to minimize extra workload to the field, and focus attention on the parts of the Orders where BLM can make the biggest impact.</w:t>
      </w:r>
    </w:p>
    <w:p w:rsidR="009D37BF" w:rsidRDefault="009D37BF">
      <w:pPr>
        <w:spacing w:after="0" w:line="240" w:lineRule="auto"/>
        <w:rPr>
          <w:rFonts w:ascii="Times New Roman" w:eastAsia="Times New Roman" w:hAnsi="Times New Roman" w:cs="Times New Roman"/>
          <w:b/>
          <w:color w:val="000000"/>
          <w:u w:val="single"/>
        </w:rPr>
      </w:pPr>
    </w:p>
    <w:p w:rsidR="009D37BF" w:rsidRDefault="007603DA">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u w:val="single"/>
        </w:rPr>
        <w:t>Talking Points</w:t>
      </w:r>
    </w:p>
    <w:p w:rsidR="009D37BF" w:rsidRDefault="009D37BF">
      <w:pPr>
        <w:spacing w:after="0" w:line="240" w:lineRule="auto"/>
        <w:rPr>
          <w:rFonts w:ascii="Times New Roman" w:eastAsia="Times New Roman" w:hAnsi="Times New Roman" w:cs="Times New Roman"/>
        </w:rPr>
      </w:pPr>
    </w:p>
    <w:p w:rsidR="009D37BF" w:rsidRDefault="007603DA">
      <w:pPr>
        <w:numPr>
          <w:ilvl w:val="0"/>
          <w:numId w:val="1"/>
        </w:numPr>
        <w:spacing w:after="200" w:line="240" w:lineRule="auto"/>
        <w:rPr>
          <w:color w:val="000000"/>
        </w:rPr>
      </w:pPr>
      <w:r>
        <w:rPr>
          <w:rFonts w:ascii="Times New Roman" w:eastAsia="Times New Roman" w:hAnsi="Times New Roman" w:cs="Times New Roman"/>
          <w:b/>
          <w:color w:val="000000"/>
        </w:rPr>
        <w:t xml:space="preserve">Reporting events, data cleanup.   </w:t>
      </w:r>
      <w:r>
        <w:rPr>
          <w:rFonts w:ascii="Times New Roman" w:eastAsia="Times New Roman" w:hAnsi="Times New Roman" w:cs="Times New Roman"/>
          <w:color w:val="000000"/>
        </w:rPr>
        <w:t>The Division of Recreation and Visitor Services has prepared 4 reports in response to SO 3356, identifying over 90 milestones for completion.  Approximately 12 of these will require action from field offices.  The action takes the form of reporting on events, creating and documenting partnerships, or cleaning up existing datasets.</w:t>
      </w:r>
    </w:p>
    <w:p w:rsidR="009D37BF" w:rsidRPr="006120B8" w:rsidRDefault="007603DA">
      <w:pPr>
        <w:numPr>
          <w:ilvl w:val="0"/>
          <w:numId w:val="1"/>
        </w:numPr>
        <w:spacing w:after="200" w:line="240" w:lineRule="auto"/>
        <w:rPr>
          <w:color w:val="000000"/>
        </w:rPr>
      </w:pPr>
      <w:r>
        <w:rPr>
          <w:rFonts w:ascii="Times New Roman" w:eastAsia="Times New Roman" w:hAnsi="Times New Roman" w:cs="Times New Roman"/>
          <w:b/>
          <w:color w:val="000000"/>
        </w:rPr>
        <w:t>Identifying SO Coordinators.</w:t>
      </w:r>
      <w:r>
        <w:rPr>
          <w:rFonts w:ascii="Times New Roman" w:eastAsia="Times New Roman" w:hAnsi="Times New Roman" w:cs="Times New Roman"/>
          <w:color w:val="000000"/>
        </w:rPr>
        <w:t xml:space="preserve">  Both S.O. 3356 and S.O. 3362 on Wildlife Migration Corridors require identification of BLM staff to serve as collateral duty coordinators and liaisons in execution of the Orders.  IM 2018-057 was distributed to request States to identify these coordinators.</w:t>
      </w:r>
    </w:p>
    <w:p w:rsidR="006120B8" w:rsidRPr="006120B8" w:rsidRDefault="006120B8">
      <w:pPr>
        <w:numPr>
          <w:ilvl w:val="0"/>
          <w:numId w:val="1"/>
        </w:numPr>
        <w:spacing w:after="200" w:line="240" w:lineRule="auto"/>
        <w:rPr>
          <w:b/>
          <w:color w:val="000000"/>
        </w:rPr>
      </w:pPr>
      <w:r w:rsidRPr="006120B8">
        <w:rPr>
          <w:rFonts w:ascii="Times New Roman" w:eastAsia="Times New Roman" w:hAnsi="Times New Roman" w:cs="Times New Roman"/>
          <w:b/>
          <w:color w:val="000000"/>
        </w:rPr>
        <w:t>S</w:t>
      </w:r>
      <w:r w:rsidRPr="006120B8">
        <w:rPr>
          <w:rFonts w:ascii="Times New Roman" w:eastAsia="Times New Roman" w:hAnsi="Times New Roman" w:cs="Times New Roman"/>
          <w:b/>
          <w:color w:val="000000"/>
        </w:rPr>
        <w:t>treamline SRP permitting</w:t>
      </w:r>
      <w:r>
        <w:rPr>
          <w:rFonts w:ascii="Times New Roman" w:eastAsia="Times New Roman" w:hAnsi="Times New Roman" w:cs="Times New Roman"/>
          <w:b/>
          <w:color w:val="000000"/>
        </w:rPr>
        <w:t xml:space="preserve">.  </w:t>
      </w:r>
      <w:r w:rsidRPr="006120B8">
        <w:rPr>
          <w:rFonts w:ascii="Times New Roman" w:eastAsia="Times New Roman" w:hAnsi="Times New Roman" w:cs="Times New Roman"/>
          <w:color w:val="000000"/>
        </w:rPr>
        <w:t>WO-250 is issuing an IM which identifies various ways field offices can lessen SRP workload though flexibilities in existing guidance</w:t>
      </w:r>
      <w:bookmarkStart w:id="0" w:name="_GoBack"/>
      <w:bookmarkEnd w:id="0"/>
      <w:r w:rsidRPr="006120B8">
        <w:rPr>
          <w:rFonts w:ascii="Times New Roman" w:eastAsia="Times New Roman" w:hAnsi="Times New Roman" w:cs="Times New Roman"/>
          <w:color w:val="000000"/>
        </w:rPr>
        <w:t>.</w:t>
      </w:r>
    </w:p>
    <w:p w:rsidR="009D37BF" w:rsidRDefault="007603DA">
      <w:pPr>
        <w:numPr>
          <w:ilvl w:val="0"/>
          <w:numId w:val="1"/>
        </w:numPr>
        <w:spacing w:after="200" w:line="240" w:lineRule="auto"/>
        <w:rPr>
          <w:color w:val="000000"/>
        </w:rPr>
      </w:pPr>
      <w:bookmarkStart w:id="1" w:name="_gjdgxs" w:colFirst="0" w:colLast="0"/>
      <w:bookmarkEnd w:id="1"/>
      <w:r>
        <w:rPr>
          <w:rFonts w:ascii="Times New Roman" w:eastAsia="Times New Roman" w:hAnsi="Times New Roman" w:cs="Times New Roman"/>
          <w:b/>
          <w:color w:val="000000"/>
        </w:rPr>
        <w:t>Categorical Exclusions.</w:t>
      </w:r>
      <w:r>
        <w:rPr>
          <w:rFonts w:ascii="Times New Roman" w:eastAsia="Times New Roman" w:hAnsi="Times New Roman" w:cs="Times New Roman"/>
          <w:color w:val="000000"/>
        </w:rPr>
        <w:t xml:space="preserve">  SO 3356 called for creation of a CX for habitat restoration.  The BLM made recommendations for clarifying the SRP CX in Special Areas, and rewriting Travel Management CXs, and creating a new CX for trail construction, maintenance and rehab.  CXs are being pursued through SO 3355 NEPA streamlining.</w:t>
      </w:r>
    </w:p>
    <w:p w:rsidR="009D37BF" w:rsidRDefault="007603DA">
      <w:pPr>
        <w:numPr>
          <w:ilvl w:val="0"/>
          <w:numId w:val="1"/>
        </w:numPr>
        <w:spacing w:after="200" w:line="240" w:lineRule="auto"/>
        <w:rPr>
          <w:color w:val="000000"/>
        </w:rPr>
      </w:pPr>
      <w:r>
        <w:rPr>
          <w:rFonts w:ascii="Times New Roman" w:eastAsia="Times New Roman" w:hAnsi="Times New Roman" w:cs="Times New Roman"/>
          <w:b/>
          <w:color w:val="000000"/>
        </w:rPr>
        <w:t>Public Lands Access Project.</w:t>
      </w:r>
      <w:r>
        <w:rPr>
          <w:rFonts w:ascii="Times New Roman" w:eastAsia="Times New Roman" w:hAnsi="Times New Roman" w:cs="Times New Roman"/>
          <w:color w:val="000000"/>
        </w:rPr>
        <w:t xml:space="preserve">  One of the major efforts will be to come up with recommendations to identify barriers to access to BLM lands.  Staff from wildlife, recreation, and realty programs are working to develop a proposal for a new effort to identify public lands access issues across the country.  </w:t>
      </w:r>
    </w:p>
    <w:p w:rsidR="009D37BF" w:rsidRDefault="007603DA">
      <w:pPr>
        <w:numPr>
          <w:ilvl w:val="0"/>
          <w:numId w:val="1"/>
        </w:numPr>
        <w:spacing w:after="200" w:line="240" w:lineRule="auto"/>
        <w:rPr>
          <w:color w:val="000000"/>
        </w:rPr>
      </w:pPr>
      <w:r>
        <w:rPr>
          <w:rFonts w:ascii="Times New Roman" w:eastAsia="Times New Roman" w:hAnsi="Times New Roman" w:cs="Times New Roman"/>
          <w:b/>
          <w:color w:val="000000"/>
        </w:rPr>
        <w:t>Wide Range of Activities.</w:t>
      </w:r>
      <w:r>
        <w:rPr>
          <w:rFonts w:ascii="Times New Roman" w:eastAsia="Times New Roman" w:hAnsi="Times New Roman" w:cs="Times New Roman"/>
          <w:color w:val="000000"/>
        </w:rPr>
        <w:t xml:space="preserve">  Other efforts range from amending monument management plans to include hunting, fishing and shooting, creating a one stop searchable public database for these opportunities, working with States and Tribes to incorporate wildlife habitat objectives and carry out joint projects, improve access for the disabled, youth and veterans, , carry out deferred </w:t>
      </w:r>
      <w:r>
        <w:rPr>
          <w:rFonts w:ascii="Times New Roman" w:eastAsia="Times New Roman" w:hAnsi="Times New Roman" w:cs="Times New Roman"/>
        </w:rPr>
        <w:t>m</w:t>
      </w:r>
      <w:r>
        <w:rPr>
          <w:rFonts w:ascii="Times New Roman" w:eastAsia="Times New Roman" w:hAnsi="Times New Roman" w:cs="Times New Roman"/>
          <w:color w:val="000000"/>
        </w:rPr>
        <w:t>aintenance projects to restore/improve access.</w:t>
      </w:r>
    </w:p>
    <w:p w:rsidR="009D37BF" w:rsidRDefault="007603DA">
      <w:pPr>
        <w:numPr>
          <w:ilvl w:val="0"/>
          <w:numId w:val="1"/>
        </w:numPr>
        <w:spacing w:after="200" w:line="240" w:lineRule="auto"/>
        <w:rPr>
          <w:color w:val="000000"/>
        </w:rPr>
      </w:pPr>
      <w:r>
        <w:rPr>
          <w:rFonts w:ascii="Times New Roman" w:eastAsia="Times New Roman" w:hAnsi="Times New Roman" w:cs="Times New Roman"/>
          <w:b/>
          <w:color w:val="000000"/>
        </w:rPr>
        <w:t>BLM Responses are BLM focused.</w:t>
      </w:r>
      <w:r>
        <w:rPr>
          <w:rFonts w:ascii="Times New Roman" w:eastAsia="Times New Roman" w:hAnsi="Times New Roman" w:cs="Times New Roman"/>
          <w:color w:val="000000"/>
        </w:rPr>
        <w:t xml:space="preserve">  While S.O. 3356 was written with direction to FWS, NPS, and BLM, and the BLM is coordinating with FWS and NPS, BLM is currently focused on identifying what it can do to address SO 3356 on the public lands.</w:t>
      </w:r>
    </w:p>
    <w:p w:rsidR="009D37BF" w:rsidRDefault="007603DA">
      <w:pPr>
        <w:numPr>
          <w:ilvl w:val="0"/>
          <w:numId w:val="1"/>
        </w:numPr>
        <w:spacing w:after="200" w:line="240" w:lineRule="auto"/>
        <w:rPr>
          <w:color w:val="000000"/>
        </w:rPr>
      </w:pPr>
      <w:r>
        <w:rPr>
          <w:rFonts w:ascii="Times New Roman" w:eastAsia="Times New Roman" w:hAnsi="Times New Roman" w:cs="Times New Roman"/>
          <w:b/>
          <w:color w:val="000000"/>
        </w:rPr>
        <w:t>Synergy with SO 3366.</w:t>
      </w:r>
      <w:r>
        <w:rPr>
          <w:rFonts w:ascii="Arial" w:eastAsia="Arial" w:hAnsi="Arial" w:cs="Arial"/>
        </w:rPr>
        <w:t xml:space="preserve">  </w:t>
      </w:r>
      <w:r>
        <w:rPr>
          <w:rFonts w:ascii="Times New Roman" w:eastAsia="Times New Roman" w:hAnsi="Times New Roman" w:cs="Times New Roman"/>
        </w:rPr>
        <w:t>SO 3366 on enhancing recreational access and opportunities has many similarities to 3356, and we are using much of the same work to address both efforts.</w:t>
      </w:r>
    </w:p>
    <w:sectPr w:rsidR="009D37BF">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5344"/>
    <w:multiLevelType w:val="multilevel"/>
    <w:tmpl w:val="1A5EC89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E012152"/>
    <w:multiLevelType w:val="multilevel"/>
    <w:tmpl w:val="E78437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5CF47CC"/>
    <w:multiLevelType w:val="multilevel"/>
    <w:tmpl w:val="4C829D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BF"/>
    <w:rsid w:val="00000115"/>
    <w:rsid w:val="006120B8"/>
    <w:rsid w:val="007603DA"/>
    <w:rsid w:val="009D37BF"/>
    <w:rsid w:val="00B0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320C"/>
  <w15:docId w15:val="{F4C6C4ED-E53F-4B88-BDEA-BEC552B6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McCusker, Jeffrey B</dc:creator>
  <cp:lastModifiedBy>McCusker, Jeffrey B</cp:lastModifiedBy>
  <cp:revision>2</cp:revision>
  <dcterms:created xsi:type="dcterms:W3CDTF">2018-05-23T21:06:00Z</dcterms:created>
  <dcterms:modified xsi:type="dcterms:W3CDTF">2018-05-23T21:06:00Z</dcterms:modified>
</cp:coreProperties>
</file>