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3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92" w:lineRule="auto"/>
        <w:ind w:left="0" w:firstLine="0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Listing of Some Common Encumbrances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3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689.0" w:type="dxa"/>
        <w:jc w:val="left"/>
        <w:tblInd w:w="15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60"/>
        <w:gridCol w:w="1694"/>
        <w:gridCol w:w="1635"/>
        <w:tblGridChange w:id="0">
          <w:tblGrid>
            <w:gridCol w:w="6360"/>
            <w:gridCol w:w="1694"/>
            <w:gridCol w:w="1635"/>
          </w:tblGrid>
        </w:tblGridChange>
      </w:tblGrid>
      <w:tr>
        <w:trPr>
          <w:trHeight w:val="600" w:hRule="atLeast"/>
        </w:trPr>
        <w:tc>
          <w:tcPr>
            <w:gridSpan w:val="3"/>
            <w:tcBorders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21" w:line="240" w:lineRule="auto"/>
              <w:ind w:left="452" w:right="12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vertAlign w:val="baseline"/>
                <w:rtl w:val="0"/>
              </w:rPr>
              <w:t xml:space="preserve">TITLE CLEARANCE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22" w:line="240" w:lineRule="auto"/>
              <w:ind w:left="459" w:right="12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Fee Title and Easements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256" w:right="124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left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24" w:lineRule="auto"/>
              <w:ind w:left="26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All exceptions listed in the title evidence are reviewed thoroughly and copies of documents requested from the title company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vertAlign w:val="baseline"/>
                <w:rtl w:val="0"/>
              </w:rPr>
              <w:t xml:space="preserve">all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 third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party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encumbrances.</w:t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21" w:line="240" w:lineRule="auto"/>
              <w:ind w:left="10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TITLE EVIDENCE  EXCEPTIONS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Clearance Required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14" w:line="240" w:lineRule="auto"/>
              <w:ind w:left="605" w:right="60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FEE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14" w:line="240" w:lineRule="auto"/>
              <w:ind w:left="195" w:right="19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EASEMENT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99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Taxes - Delinquent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605" w:right="60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195" w:right="17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92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Taxes - Due and Payable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605" w:right="60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195" w:right="1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No'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99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Taxes - Lien But Not Yet Due and Payable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2" w:line="240" w:lineRule="auto"/>
              <w:ind w:left="605" w:right="59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195" w:right="17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9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Special Tax Assessments - Tax Deferral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6" w:line="240" w:lineRule="auto"/>
              <w:ind w:left="602" w:right="60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3" w:line="240" w:lineRule="auto"/>
              <w:ind w:left="195" w:right="17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2" w:line="240" w:lineRule="auto"/>
              <w:ind w:left="9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Mortgages/Deed of Trust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2" w:line="240" w:lineRule="auto"/>
              <w:ind w:left="602" w:right="60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195" w:right="1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6" w:line="240" w:lineRule="auto"/>
              <w:ind w:left="9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Mechanic's Lien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3" w:line="240" w:lineRule="auto"/>
              <w:ind w:left="605" w:right="60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3" w:line="240" w:lineRule="auto"/>
              <w:ind w:left="195" w:right="17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94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Judgments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602" w:right="60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195" w:right="18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84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Contract of Sale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34" w:line="240" w:lineRule="auto"/>
              <w:ind w:left="603" w:right="60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4" w:line="240" w:lineRule="auto"/>
              <w:ind w:left="195" w:right="18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3" w:line="240" w:lineRule="auto"/>
              <w:ind w:left="81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Decedent's Estate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3" w:line="240" w:lineRule="auto"/>
              <w:ind w:left="605" w:right="60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3" w:line="240" w:lineRule="auto"/>
              <w:ind w:left="195" w:right="17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88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Financing Statements, Seed and Farm Laborer's Liens on Crops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602" w:right="60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195" w:right="17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8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  <w:rtl w:val="0"/>
              </w:rPr>
              <w:t xml:space="preserve">Lessees/Occupants or Items Discovered by Inspection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597" w:right="60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195" w:right="18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74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Dower, Curtesy, Spousal, or Co-Tenant's Interest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34" w:line="240" w:lineRule="auto"/>
              <w:ind w:left="602" w:right="60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1" w:line="240" w:lineRule="auto"/>
              <w:ind w:left="195" w:right="177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74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Rights-of-Way/Easements/Mineral Reservations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42" w:line="240" w:lineRule="auto"/>
              <w:ind w:left="604" w:right="60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50" w:line="240" w:lineRule="auto"/>
              <w:ind w:left="195" w:right="17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3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1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Only if consideration is sufficient to pay.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66" w:lineRule="auto"/>
        <w:ind w:left="748" w:right="41" w:firstLine="683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Subordinate or partially release. Can waive if mortgage is less than 50% of appraised value and easement consideration is less than 10% of appraised value.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8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ind w:left="1429" w:firstLine="0"/>
        <w:contextualSpacing w:val="0"/>
        <w:rPr>
          <w:sz w:val="21"/>
          <w:szCs w:val="21"/>
        </w:rPr>
      </w:pPr>
      <w:r w:rsidDel="00000000" w:rsidR="00000000" w:rsidRPr="00000000">
        <w:rPr>
          <w:b w:val="0"/>
          <w:sz w:val="21"/>
          <w:szCs w:val="21"/>
          <w:vertAlign w:val="superscript"/>
          <w:rtl w:val="0"/>
        </w:rPr>
        <w:t xml:space="preserve">3</w:t>
      </w:r>
      <w:r w:rsidDel="00000000" w:rsidR="00000000" w:rsidRPr="00000000">
        <w:rPr>
          <w:b w:val="0"/>
          <w:sz w:val="21"/>
          <w:szCs w:val="21"/>
          <w:rtl w:val="0"/>
        </w:rPr>
        <w:t xml:space="preserve"> Join purchaser in execution of conveyance.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1" w:lineRule="auto"/>
        <w:ind w:left="709" w:firstLine="720"/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vertAlign w:val="superscript"/>
          <w:rtl w:val="0"/>
        </w:rPr>
        <w:t xml:space="preserve">4</w:t>
      </w:r>
      <w:r w:rsidDel="00000000" w:rsidR="00000000" w:rsidRPr="00000000">
        <w:rPr>
          <w:sz w:val="21"/>
          <w:szCs w:val="21"/>
          <w:rtl w:val="0"/>
        </w:rPr>
        <w:t xml:space="preserve">  </w:t>
      </w:r>
      <w:r w:rsidDel="00000000" w:rsidR="00000000" w:rsidRPr="00000000">
        <w:rPr>
          <w:sz w:val="21"/>
          <w:szCs w:val="21"/>
          <w:rtl w:val="0"/>
        </w:rPr>
        <w:t xml:space="preserve">Follow Relocation Act PL91-646 for Lessees/Occupants.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Disclaimers</w:t>
      </w:r>
      <w:r w:rsidDel="00000000" w:rsidR="00000000" w:rsidRPr="00000000">
        <w:rPr>
          <w:sz w:val="21"/>
          <w:szCs w:val="21"/>
          <w:rtl w:val="0"/>
        </w:rPr>
        <w:t xml:space="preserve">,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releases, or easements must be obtained </w:t>
      </w:r>
      <w:r w:rsidDel="00000000" w:rsidR="00000000" w:rsidRPr="00000000">
        <w:rPr>
          <w:sz w:val="21"/>
          <w:szCs w:val="21"/>
          <w:rtl w:val="0"/>
        </w:rPr>
        <w:t xml:space="preserve">when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there is no documented right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8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z w:val="21"/>
          <w:szCs w:val="21"/>
        </w:rPr>
      </w:pPr>
      <w:r w:rsidDel="00000000" w:rsidR="00000000" w:rsidRPr="00000000">
        <w:rPr>
          <w:b w:val="0"/>
          <w:sz w:val="21"/>
          <w:szCs w:val="21"/>
          <w:vertAlign w:val="superscript"/>
          <w:rtl w:val="0"/>
        </w:rPr>
        <w:t xml:space="preserve">5</w:t>
      </w:r>
      <w:r w:rsidDel="00000000" w:rsidR="00000000" w:rsidRPr="00000000">
        <w:rPr>
          <w:b w:val="0"/>
          <w:sz w:val="21"/>
          <w:szCs w:val="21"/>
          <w:rtl w:val="0"/>
        </w:rPr>
        <w:t xml:space="preserve"> Releases must be obtained or join purchaser in execution of conveyance.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13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If conflicts with rights being acquired or intended use of acquisition.</w:t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b w:val="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20" w:w="12230"/>
      <w:pgMar w:bottom="280" w:top="1480" w:left="1240" w:right="9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142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