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952" w:rsidRPr="005F7CAA" w:rsidRDefault="005F7CAA" w:rsidP="005F7CAA">
      <w:pPr>
        <w:jc w:val="center"/>
        <w:rPr>
          <w:b/>
          <w:sz w:val="24"/>
          <w:szCs w:val="24"/>
        </w:rPr>
      </w:pPr>
      <w:r w:rsidRPr="005F7CAA">
        <w:rPr>
          <w:b/>
          <w:sz w:val="24"/>
          <w:szCs w:val="24"/>
        </w:rPr>
        <w:t>Exchanges</w:t>
      </w:r>
    </w:p>
    <w:p w:rsidR="005F7CAA" w:rsidRPr="005F7CAA" w:rsidRDefault="005F7CAA" w:rsidP="005F7CAA">
      <w:pPr>
        <w:jc w:val="center"/>
        <w:rPr>
          <w:b/>
          <w:sz w:val="28"/>
          <w:szCs w:val="28"/>
        </w:rPr>
      </w:pPr>
      <w:r w:rsidRPr="005F7CAA">
        <w:rPr>
          <w:b/>
          <w:sz w:val="28"/>
          <w:szCs w:val="28"/>
        </w:rPr>
        <w:t>Appraisals</w:t>
      </w:r>
    </w:p>
    <w:p w:rsidR="005F7CAA" w:rsidRPr="005F7CAA" w:rsidRDefault="005F7CAA" w:rsidP="005F7CAA">
      <w:pPr>
        <w:jc w:val="center"/>
        <w:rPr>
          <w:b/>
          <w:sz w:val="24"/>
          <w:szCs w:val="24"/>
        </w:rPr>
      </w:pPr>
      <w:r w:rsidRPr="005F7CAA">
        <w:rPr>
          <w:b/>
          <w:sz w:val="24"/>
          <w:szCs w:val="24"/>
        </w:rPr>
        <w:t>Session Summary</w:t>
      </w:r>
    </w:p>
    <w:p w:rsidR="005F7CAA" w:rsidRDefault="005F7CAA"/>
    <w:p w:rsidR="005F7CAA" w:rsidRDefault="005F7CAA"/>
    <w:tbl>
      <w:tblPr>
        <w:tblStyle w:val="TableGrid"/>
        <w:tblW w:w="0" w:type="auto"/>
        <w:tblLook w:val="04A0" w:firstRow="1" w:lastRow="0" w:firstColumn="1" w:lastColumn="0" w:noHBand="0" w:noVBand="1"/>
      </w:tblPr>
      <w:tblGrid>
        <w:gridCol w:w="4608"/>
        <w:gridCol w:w="81"/>
        <w:gridCol w:w="4527"/>
      </w:tblGrid>
      <w:tr w:rsidR="005F7CAA" w:rsidRPr="00BA7FE7" w:rsidTr="00D401BC">
        <w:tc>
          <w:tcPr>
            <w:tcW w:w="4689" w:type="dxa"/>
            <w:gridSpan w:val="2"/>
            <w:tcBorders>
              <w:bottom w:val="double" w:sz="4" w:space="0" w:color="auto"/>
            </w:tcBorders>
          </w:tcPr>
          <w:p w:rsidR="005F7CAA" w:rsidRPr="00BA7FE7" w:rsidRDefault="005F7CAA" w:rsidP="005F7CAA">
            <w:pPr>
              <w:jc w:val="center"/>
              <w:rPr>
                <w:b/>
                <w:sz w:val="24"/>
                <w:szCs w:val="24"/>
              </w:rPr>
            </w:pPr>
            <w:r w:rsidRPr="00BA7FE7">
              <w:rPr>
                <w:b/>
                <w:sz w:val="24"/>
                <w:szCs w:val="24"/>
              </w:rPr>
              <w:t>BLM</w:t>
            </w:r>
          </w:p>
        </w:tc>
        <w:tc>
          <w:tcPr>
            <w:tcW w:w="4527" w:type="dxa"/>
            <w:tcBorders>
              <w:bottom w:val="double" w:sz="4" w:space="0" w:color="auto"/>
            </w:tcBorders>
          </w:tcPr>
          <w:p w:rsidR="005F7CAA" w:rsidRPr="00BA7FE7" w:rsidRDefault="005F7CAA" w:rsidP="005F7CAA">
            <w:pPr>
              <w:jc w:val="center"/>
              <w:rPr>
                <w:b/>
                <w:sz w:val="24"/>
                <w:szCs w:val="24"/>
              </w:rPr>
            </w:pPr>
            <w:r w:rsidRPr="00146F65">
              <w:rPr>
                <w:b/>
                <w:sz w:val="24"/>
                <w:szCs w:val="24"/>
              </w:rPr>
              <w:t>FS</w:t>
            </w:r>
          </w:p>
        </w:tc>
      </w:tr>
      <w:tr w:rsidR="005F7CAA" w:rsidRPr="00BA7FE7" w:rsidTr="00D401BC">
        <w:trPr>
          <w:trHeight w:val="432"/>
        </w:trPr>
        <w:tc>
          <w:tcPr>
            <w:tcW w:w="9216" w:type="dxa"/>
            <w:gridSpan w:val="3"/>
            <w:tcBorders>
              <w:top w:val="single" w:sz="4" w:space="0" w:color="auto"/>
            </w:tcBorders>
            <w:vAlign w:val="center"/>
          </w:tcPr>
          <w:p w:rsidR="005F7CAA" w:rsidRPr="00146F65" w:rsidRDefault="00C65CE2" w:rsidP="00C65CE2">
            <w:pPr>
              <w:jc w:val="center"/>
              <w:rPr>
                <w:b/>
                <w:sz w:val="24"/>
                <w:szCs w:val="24"/>
              </w:rPr>
            </w:pPr>
            <w:r w:rsidRPr="00146F65">
              <w:rPr>
                <w:b/>
                <w:sz w:val="24"/>
                <w:szCs w:val="24"/>
              </w:rPr>
              <w:t>Regulation and Policy</w:t>
            </w:r>
          </w:p>
        </w:tc>
      </w:tr>
      <w:tr w:rsidR="005F7CAA" w:rsidTr="00D401BC">
        <w:tc>
          <w:tcPr>
            <w:tcW w:w="4689" w:type="dxa"/>
            <w:gridSpan w:val="2"/>
            <w:tcBorders>
              <w:bottom w:val="double" w:sz="4" w:space="0" w:color="auto"/>
            </w:tcBorders>
          </w:tcPr>
          <w:p w:rsidR="00146F65" w:rsidRDefault="00C65CE2" w:rsidP="00C65CE2">
            <w:pPr>
              <w:pStyle w:val="ListParagraph"/>
              <w:numPr>
                <w:ilvl w:val="0"/>
                <w:numId w:val="2"/>
              </w:numPr>
              <w:ind w:left="180" w:hanging="180"/>
            </w:pPr>
            <w:r w:rsidRPr="00146F65">
              <w:t xml:space="preserve">Land Exchange Handbook, H-2200-1, </w:t>
            </w:r>
          </w:p>
          <w:p w:rsidR="005F7CAA" w:rsidRPr="00146F65" w:rsidRDefault="00C65CE2" w:rsidP="00146F65">
            <w:pPr>
              <w:pStyle w:val="ListParagraph"/>
              <w:ind w:left="180"/>
            </w:pPr>
            <w:r w:rsidRPr="00146F65">
              <w:t>Chapters 7 and 11</w:t>
            </w:r>
          </w:p>
          <w:p w:rsidR="00C65CE2" w:rsidRPr="00146F65" w:rsidRDefault="00C65CE2" w:rsidP="00C65CE2">
            <w:pPr>
              <w:pStyle w:val="ListParagraph"/>
              <w:numPr>
                <w:ilvl w:val="0"/>
                <w:numId w:val="2"/>
              </w:numPr>
              <w:ind w:left="180" w:hanging="180"/>
            </w:pPr>
            <w:r w:rsidRPr="00146F65">
              <w:t>43 CFR 2200.05; 43 CFR 2201.3 through 2201.6</w:t>
            </w:r>
          </w:p>
          <w:p w:rsidR="001D748F" w:rsidRPr="00146F65" w:rsidRDefault="001D748F" w:rsidP="00146F65">
            <w:pPr>
              <w:pStyle w:val="ListParagraph"/>
              <w:ind w:left="180"/>
            </w:pPr>
          </w:p>
        </w:tc>
        <w:tc>
          <w:tcPr>
            <w:tcW w:w="4527" w:type="dxa"/>
            <w:tcBorders>
              <w:bottom w:val="double" w:sz="4" w:space="0" w:color="auto"/>
            </w:tcBorders>
          </w:tcPr>
          <w:p w:rsidR="005F7CAA" w:rsidRPr="00146F65" w:rsidRDefault="005F7CAA" w:rsidP="00C65CE2">
            <w:pPr>
              <w:pStyle w:val="ListParagraph"/>
              <w:numPr>
                <w:ilvl w:val="0"/>
                <w:numId w:val="3"/>
              </w:numPr>
              <w:ind w:left="252" w:hanging="180"/>
            </w:pPr>
            <w:r w:rsidRPr="00146F65">
              <w:t>FSM 5410</w:t>
            </w:r>
          </w:p>
          <w:p w:rsidR="00C65CE2" w:rsidRPr="00146F65" w:rsidRDefault="00C65CE2" w:rsidP="00C65CE2">
            <w:pPr>
              <w:pStyle w:val="ListParagraph"/>
              <w:numPr>
                <w:ilvl w:val="0"/>
                <w:numId w:val="3"/>
              </w:numPr>
              <w:ind w:left="252" w:hanging="180"/>
            </w:pPr>
            <w:r w:rsidRPr="00146F65">
              <w:t>FSH 5409.12</w:t>
            </w:r>
          </w:p>
          <w:p w:rsidR="00C65CE2" w:rsidRPr="00146F65" w:rsidRDefault="00C65CE2" w:rsidP="00C65CE2">
            <w:pPr>
              <w:pStyle w:val="ListParagraph"/>
              <w:numPr>
                <w:ilvl w:val="0"/>
                <w:numId w:val="3"/>
              </w:numPr>
              <w:ind w:left="252" w:hanging="180"/>
            </w:pPr>
            <w:r w:rsidRPr="00146F65">
              <w:t>36 CFR 254.9</w:t>
            </w:r>
          </w:p>
        </w:tc>
      </w:tr>
      <w:tr w:rsidR="005F7CAA" w:rsidRPr="00BA7FE7" w:rsidTr="00D401BC">
        <w:trPr>
          <w:trHeight w:val="432"/>
        </w:trPr>
        <w:tc>
          <w:tcPr>
            <w:tcW w:w="9216" w:type="dxa"/>
            <w:gridSpan w:val="3"/>
            <w:vAlign w:val="center"/>
          </w:tcPr>
          <w:p w:rsidR="005F7CAA" w:rsidRPr="00BA7FE7" w:rsidRDefault="005F7CAA" w:rsidP="00C65CE2">
            <w:pPr>
              <w:jc w:val="center"/>
              <w:rPr>
                <w:b/>
                <w:sz w:val="24"/>
                <w:szCs w:val="24"/>
              </w:rPr>
            </w:pPr>
            <w:r w:rsidRPr="00BA7FE7">
              <w:rPr>
                <w:b/>
                <w:sz w:val="24"/>
                <w:szCs w:val="24"/>
              </w:rPr>
              <w:t>Appraisal Standards</w:t>
            </w:r>
          </w:p>
        </w:tc>
      </w:tr>
      <w:tr w:rsidR="005F7CAA" w:rsidTr="00D401BC">
        <w:trPr>
          <w:trHeight w:val="1104"/>
        </w:trPr>
        <w:tc>
          <w:tcPr>
            <w:tcW w:w="9216" w:type="dxa"/>
            <w:gridSpan w:val="3"/>
          </w:tcPr>
          <w:p w:rsidR="005F7CAA" w:rsidRDefault="00E52949" w:rsidP="009265CA">
            <w:pPr>
              <w:pStyle w:val="ListParagraph"/>
              <w:numPr>
                <w:ilvl w:val="0"/>
                <w:numId w:val="4"/>
              </w:numPr>
              <w:ind w:left="180" w:hanging="180"/>
            </w:pPr>
            <w:r>
              <w:t>Uniform Standards of Professional Appraisal Practice</w:t>
            </w:r>
            <w:r w:rsidR="00C65CE2">
              <w:t xml:space="preserve"> (USPAP)</w:t>
            </w:r>
          </w:p>
          <w:p w:rsidR="00C65CE2" w:rsidRDefault="00C65CE2" w:rsidP="009265CA">
            <w:pPr>
              <w:pStyle w:val="ListParagraph"/>
              <w:numPr>
                <w:ilvl w:val="0"/>
                <w:numId w:val="4"/>
              </w:numPr>
              <w:ind w:left="180" w:hanging="180"/>
            </w:pPr>
            <w:r>
              <w:t>Uniform Appraisal Standards for Federal Land Acquisitions (Yellow Boo</w:t>
            </w:r>
            <w:r w:rsidRPr="00D058B3">
              <w:t>k) –</w:t>
            </w:r>
            <w:bookmarkStart w:id="0" w:name="_GoBack"/>
            <w:bookmarkEnd w:id="0"/>
            <w:r w:rsidRPr="00D058B3">
              <w:t>copy of Section D7</w:t>
            </w:r>
            <w:r w:rsidR="00ED77F2" w:rsidRPr="00D058B3">
              <w:t>, Special Considerations in Appraisals for Federal Land Exchanges,</w:t>
            </w:r>
            <w:r w:rsidRPr="00D058B3">
              <w:t xml:space="preserve"> is in </w:t>
            </w:r>
            <w:r>
              <w:t>your Reference Notebook</w:t>
            </w:r>
          </w:p>
          <w:p w:rsidR="00C65CE2" w:rsidRDefault="00C65CE2" w:rsidP="009265CA">
            <w:pPr>
              <w:pStyle w:val="ListParagraph"/>
              <w:numPr>
                <w:ilvl w:val="0"/>
                <w:numId w:val="4"/>
              </w:numPr>
              <w:ind w:left="180" w:hanging="180"/>
            </w:pPr>
            <w:r>
              <w:t>Federal laws and regulations</w:t>
            </w:r>
          </w:p>
          <w:p w:rsidR="00C65CE2" w:rsidRDefault="00C65CE2" w:rsidP="009265CA">
            <w:pPr>
              <w:pStyle w:val="ListParagraph"/>
              <w:numPr>
                <w:ilvl w:val="0"/>
                <w:numId w:val="4"/>
              </w:numPr>
              <w:ind w:left="180" w:hanging="180"/>
            </w:pPr>
            <w:r>
              <w:t>State laws and regulations</w:t>
            </w:r>
          </w:p>
          <w:p w:rsidR="00C65CE2" w:rsidRDefault="00C65CE2" w:rsidP="009265CA">
            <w:pPr>
              <w:pStyle w:val="ListParagraph"/>
              <w:numPr>
                <w:ilvl w:val="0"/>
                <w:numId w:val="4"/>
              </w:numPr>
              <w:ind w:left="180" w:hanging="180"/>
            </w:pPr>
            <w:r>
              <w:t>Local laws and regulations</w:t>
            </w:r>
          </w:p>
          <w:p w:rsidR="00C65CE2" w:rsidRDefault="00C65CE2" w:rsidP="00C65CE2"/>
          <w:p w:rsidR="00C65CE2" w:rsidRDefault="00865D34" w:rsidP="00C65CE2">
            <w:r>
              <w:t>Note: I</w:t>
            </w:r>
            <w:r w:rsidR="00C65CE2">
              <w:t>f in conflict, federal laws usually control</w:t>
            </w:r>
          </w:p>
          <w:p w:rsidR="009265CA" w:rsidRDefault="009265CA" w:rsidP="00C65CE2"/>
        </w:tc>
      </w:tr>
      <w:tr w:rsidR="009265CA" w:rsidRPr="00BA7FE7" w:rsidTr="00D401BC">
        <w:trPr>
          <w:trHeight w:val="432"/>
        </w:trPr>
        <w:tc>
          <w:tcPr>
            <w:tcW w:w="9216" w:type="dxa"/>
            <w:gridSpan w:val="3"/>
            <w:vAlign w:val="center"/>
          </w:tcPr>
          <w:p w:rsidR="009265CA" w:rsidRPr="00BA7FE7" w:rsidRDefault="009265CA" w:rsidP="009265CA">
            <w:pPr>
              <w:jc w:val="center"/>
              <w:rPr>
                <w:sz w:val="24"/>
                <w:szCs w:val="24"/>
              </w:rPr>
            </w:pPr>
            <w:r w:rsidRPr="00BA7FE7">
              <w:rPr>
                <w:b/>
                <w:sz w:val="24"/>
                <w:szCs w:val="24"/>
              </w:rPr>
              <w:t>Equal Value Requirement</w:t>
            </w:r>
          </w:p>
        </w:tc>
      </w:tr>
      <w:tr w:rsidR="009265CA" w:rsidRPr="009265CA" w:rsidTr="00D401BC">
        <w:trPr>
          <w:trHeight w:val="274"/>
        </w:trPr>
        <w:tc>
          <w:tcPr>
            <w:tcW w:w="9216" w:type="dxa"/>
            <w:gridSpan w:val="3"/>
            <w:tcBorders>
              <w:bottom w:val="double" w:sz="4" w:space="0" w:color="auto"/>
            </w:tcBorders>
            <w:vAlign w:val="center"/>
          </w:tcPr>
          <w:p w:rsidR="009265CA" w:rsidRDefault="009265CA" w:rsidP="009265CA">
            <w:r w:rsidRPr="009265CA">
              <w:t>Federal</w:t>
            </w:r>
            <w:r>
              <w:t xml:space="preserve"> and non-federal lands and /or interest in lands must be equal in value and appraised in a similar manner.</w:t>
            </w:r>
          </w:p>
          <w:p w:rsidR="009265CA" w:rsidRDefault="009265CA" w:rsidP="009265CA">
            <w:r>
              <w:t>Differences in value can be equalized by:</w:t>
            </w:r>
          </w:p>
          <w:p w:rsidR="009265CA" w:rsidRDefault="009265CA" w:rsidP="009265CA">
            <w:pPr>
              <w:pStyle w:val="ListParagraph"/>
              <w:numPr>
                <w:ilvl w:val="0"/>
                <w:numId w:val="5"/>
              </w:numPr>
            </w:pPr>
            <w:r>
              <w:t>Addition/subtraction of lands or interests</w:t>
            </w:r>
          </w:p>
          <w:p w:rsidR="009265CA" w:rsidRDefault="009265CA" w:rsidP="009265CA">
            <w:pPr>
              <w:pStyle w:val="ListParagraph"/>
              <w:numPr>
                <w:ilvl w:val="0"/>
                <w:numId w:val="5"/>
              </w:numPr>
            </w:pPr>
            <w:r>
              <w:t>Cash (not to exceed 25 percent of the value of the Federal lands or interests)</w:t>
            </w:r>
          </w:p>
          <w:p w:rsidR="009265CA" w:rsidRDefault="009265CA" w:rsidP="009265CA">
            <w:r>
              <w:t>Options for equalization must be addressed in the feasibility phase and report through the decision phase, in addition to the:</w:t>
            </w:r>
          </w:p>
          <w:p w:rsidR="009265CA" w:rsidRDefault="009265CA" w:rsidP="009265CA">
            <w:pPr>
              <w:pStyle w:val="ListParagraph"/>
              <w:numPr>
                <w:ilvl w:val="0"/>
                <w:numId w:val="6"/>
              </w:numPr>
            </w:pPr>
            <w:r>
              <w:t>NEPA analysis – in evaluation of resources and potential public benefits</w:t>
            </w:r>
          </w:p>
          <w:p w:rsidR="009265CA" w:rsidRDefault="009265CA" w:rsidP="009265CA">
            <w:pPr>
              <w:pStyle w:val="ListParagraph"/>
              <w:numPr>
                <w:ilvl w:val="0"/>
                <w:numId w:val="6"/>
              </w:numPr>
            </w:pPr>
            <w:r>
              <w:t>Documented in the Agreement to Initiate a Land Exchange (ATI) and binding</w:t>
            </w:r>
            <w:r w:rsidR="0029740E">
              <w:t xml:space="preserve"> Exchange Agreement, if utilized</w:t>
            </w:r>
          </w:p>
          <w:p w:rsidR="001D748F" w:rsidRPr="009265CA" w:rsidRDefault="0039520C" w:rsidP="001D748F">
            <w:pPr>
              <w:pStyle w:val="ListParagraph"/>
            </w:pPr>
            <w:r>
              <w:t xml:space="preserve">   </w:t>
            </w:r>
          </w:p>
        </w:tc>
      </w:tr>
      <w:tr w:rsidR="0029740E" w:rsidRPr="00BA7FE7" w:rsidTr="00D401BC">
        <w:trPr>
          <w:trHeight w:val="720"/>
        </w:trPr>
        <w:tc>
          <w:tcPr>
            <w:tcW w:w="9216" w:type="dxa"/>
            <w:gridSpan w:val="3"/>
            <w:tcBorders>
              <w:top w:val="double" w:sz="4" w:space="0" w:color="auto"/>
            </w:tcBorders>
            <w:vAlign w:val="center"/>
          </w:tcPr>
          <w:p w:rsidR="0029740E" w:rsidRPr="00BA7FE7" w:rsidRDefault="0029740E" w:rsidP="0029740E">
            <w:pPr>
              <w:jc w:val="center"/>
              <w:rPr>
                <w:b/>
                <w:sz w:val="24"/>
                <w:szCs w:val="24"/>
              </w:rPr>
            </w:pPr>
            <w:r w:rsidRPr="00BA7FE7">
              <w:rPr>
                <w:b/>
                <w:sz w:val="24"/>
                <w:szCs w:val="24"/>
              </w:rPr>
              <w:t>Requesting an Appraisal</w:t>
            </w:r>
          </w:p>
          <w:p w:rsidR="0029740E" w:rsidRPr="00BA7FE7" w:rsidRDefault="0029740E" w:rsidP="0029740E">
            <w:pPr>
              <w:jc w:val="center"/>
              <w:rPr>
                <w:b/>
                <w:sz w:val="24"/>
                <w:szCs w:val="24"/>
              </w:rPr>
            </w:pPr>
            <w:r w:rsidRPr="00BA7FE7">
              <w:rPr>
                <w:b/>
                <w:sz w:val="24"/>
                <w:szCs w:val="24"/>
              </w:rPr>
              <w:t>How?</w:t>
            </w:r>
          </w:p>
        </w:tc>
      </w:tr>
      <w:tr w:rsidR="0029740E" w:rsidRPr="0029740E" w:rsidTr="00D401BC">
        <w:tc>
          <w:tcPr>
            <w:tcW w:w="4689" w:type="dxa"/>
            <w:gridSpan w:val="2"/>
          </w:tcPr>
          <w:p w:rsidR="004F5E96" w:rsidRPr="00D058B3" w:rsidRDefault="004F5E96" w:rsidP="00D058B3">
            <w:r w:rsidRPr="00D058B3">
              <w:t xml:space="preserve">Consolidated appraisal functions within the Department of Interior – Office of Valuation Services </w:t>
            </w:r>
            <w:r w:rsidR="00D058B3">
              <w:t>(OVS)</w:t>
            </w:r>
            <w:r w:rsidR="00D058B3" w:rsidRPr="00D058B3">
              <w:t xml:space="preserve">: </w:t>
            </w:r>
            <w:hyperlink r:id="rId7" w:history="1">
              <w:r w:rsidR="00D058B3" w:rsidRPr="00D058B3">
                <w:rPr>
                  <w:rStyle w:val="Hyperlink"/>
                  <w:color w:val="auto"/>
                </w:rPr>
                <w:t>http://www.doi.gov/ovs</w:t>
              </w:r>
            </w:hyperlink>
            <w:r w:rsidR="00D058B3" w:rsidRPr="00D058B3">
              <w:t xml:space="preserve"> </w:t>
            </w:r>
          </w:p>
          <w:p w:rsidR="004F5E96" w:rsidRPr="00D058B3" w:rsidRDefault="004F5E96" w:rsidP="004F5E96">
            <w:r w:rsidRPr="00D058B3">
              <w:t>Affected agencies:</w:t>
            </w:r>
          </w:p>
          <w:p w:rsidR="004F5E96" w:rsidRPr="00D058B3" w:rsidRDefault="004F5E96" w:rsidP="004F5E96">
            <w:pPr>
              <w:pStyle w:val="ListParagraph"/>
              <w:numPr>
                <w:ilvl w:val="0"/>
                <w:numId w:val="7"/>
              </w:numPr>
            </w:pPr>
            <w:r w:rsidRPr="00D058B3">
              <w:t>BLM</w:t>
            </w:r>
          </w:p>
          <w:p w:rsidR="004F5E96" w:rsidRPr="00D058B3" w:rsidRDefault="004F5E96" w:rsidP="004F5E96">
            <w:pPr>
              <w:pStyle w:val="ListParagraph"/>
              <w:numPr>
                <w:ilvl w:val="0"/>
                <w:numId w:val="7"/>
              </w:numPr>
            </w:pPr>
            <w:r w:rsidRPr="00D058B3">
              <w:t>National Park Service (NPS)</w:t>
            </w:r>
          </w:p>
          <w:p w:rsidR="004F5E96" w:rsidRPr="00D058B3" w:rsidRDefault="004F5E96" w:rsidP="004F5E96">
            <w:pPr>
              <w:pStyle w:val="ListParagraph"/>
              <w:numPr>
                <w:ilvl w:val="0"/>
                <w:numId w:val="7"/>
              </w:numPr>
            </w:pPr>
            <w:r w:rsidRPr="00D058B3">
              <w:t>Fish and Wildlife Service (USFWS)</w:t>
            </w:r>
          </w:p>
          <w:p w:rsidR="004F5E96" w:rsidRPr="00D058B3" w:rsidRDefault="004F5E96" w:rsidP="00D058B3">
            <w:pPr>
              <w:pStyle w:val="ListParagraph"/>
              <w:numPr>
                <w:ilvl w:val="0"/>
                <w:numId w:val="7"/>
              </w:numPr>
            </w:pPr>
            <w:r w:rsidRPr="00D058B3">
              <w:t>Bureau of Reclamation (BOR)</w:t>
            </w:r>
          </w:p>
        </w:tc>
        <w:tc>
          <w:tcPr>
            <w:tcW w:w="4527" w:type="dxa"/>
          </w:tcPr>
          <w:p w:rsidR="0029740E" w:rsidRPr="00D058B3" w:rsidRDefault="006E0135" w:rsidP="006E0135">
            <w:r>
              <w:t>Submit r</w:t>
            </w:r>
            <w:r w:rsidR="00CA2D4B" w:rsidRPr="00D058B3">
              <w:t>equests for appraisal services to the Regional Appraiser</w:t>
            </w:r>
            <w:r w:rsidR="00865D34" w:rsidRPr="00D058B3">
              <w:t xml:space="preserve"> or assigned Review Appraiser</w:t>
            </w:r>
            <w:r w:rsidR="00CA2D4B" w:rsidRPr="00D058B3">
              <w:t>.</w:t>
            </w:r>
          </w:p>
        </w:tc>
      </w:tr>
      <w:tr w:rsidR="0029740E" w:rsidRPr="0029740E" w:rsidTr="00D401BC">
        <w:tc>
          <w:tcPr>
            <w:tcW w:w="4689" w:type="dxa"/>
            <w:gridSpan w:val="2"/>
            <w:tcBorders>
              <w:bottom w:val="double" w:sz="4" w:space="0" w:color="auto"/>
            </w:tcBorders>
          </w:tcPr>
          <w:p w:rsidR="00CA2D4B" w:rsidRDefault="004F5E96" w:rsidP="0029740E">
            <w:r>
              <w:lastRenderedPageBreak/>
              <w:t>Enter request into:</w:t>
            </w:r>
          </w:p>
          <w:p w:rsidR="00D058B3" w:rsidRDefault="00D058B3" w:rsidP="0029740E">
            <w:r>
              <w:t>Interior Valuation Information System (IVIS</w:t>
            </w:r>
            <w:r w:rsidR="004F5E96">
              <w:t xml:space="preserve">) </w:t>
            </w:r>
          </w:p>
          <w:p w:rsidR="00D058B3" w:rsidRDefault="000F3B2C" w:rsidP="00D058B3">
            <w:pPr>
              <w:jc w:val="center"/>
              <w:rPr>
                <w:rFonts w:cstheme="minorHAnsi"/>
                <w:sz w:val="24"/>
                <w:szCs w:val="24"/>
              </w:rPr>
            </w:pPr>
            <w:hyperlink r:id="rId8" w:history="1">
              <w:r w:rsidR="00D058B3" w:rsidRPr="001C4C8E">
                <w:rPr>
                  <w:rStyle w:val="Hyperlink"/>
                  <w:rFonts w:cstheme="minorHAnsi"/>
                  <w:sz w:val="24"/>
                  <w:szCs w:val="24"/>
                </w:rPr>
                <w:t>https://doi-ivis.secure.force.com</w:t>
              </w:r>
            </w:hyperlink>
          </w:p>
          <w:p w:rsidR="00D058B3" w:rsidRDefault="00D058B3" w:rsidP="001D748F">
            <w:r>
              <w:t xml:space="preserve">Appraisal Information Check List </w:t>
            </w:r>
          </w:p>
          <w:p w:rsidR="004F5E96" w:rsidRDefault="004F5E96" w:rsidP="001D748F">
            <w:r>
              <w:t>(</w:t>
            </w:r>
            <w:r w:rsidR="001D748F">
              <w:t>included in</w:t>
            </w:r>
            <w:r>
              <w:t xml:space="preserve"> binder)</w:t>
            </w:r>
          </w:p>
          <w:p w:rsidR="00D42864" w:rsidRPr="0029740E" w:rsidRDefault="00D42864" w:rsidP="001D748F"/>
        </w:tc>
        <w:tc>
          <w:tcPr>
            <w:tcW w:w="4527" w:type="dxa"/>
            <w:tcBorders>
              <w:bottom w:val="double" w:sz="4" w:space="0" w:color="auto"/>
            </w:tcBorders>
          </w:tcPr>
          <w:p w:rsidR="0029740E" w:rsidRPr="0029740E" w:rsidRDefault="00980536" w:rsidP="001D748F">
            <w:r>
              <w:t>Submit</w:t>
            </w:r>
            <w:r w:rsidR="00CA2D4B">
              <w:t xml:space="preserve"> </w:t>
            </w:r>
            <w:r>
              <w:t>“L</w:t>
            </w:r>
            <w:r w:rsidR="00CA2D4B">
              <w:t xml:space="preserve">etter </w:t>
            </w:r>
            <w:r w:rsidR="002142AA">
              <w:t>R</w:t>
            </w:r>
            <w:r w:rsidR="00CA2D4B">
              <w:t xml:space="preserve">equesting </w:t>
            </w:r>
            <w:r w:rsidR="002142AA">
              <w:t>A</w:t>
            </w:r>
            <w:r w:rsidR="00CA2D4B">
              <w:t>ppraisal</w:t>
            </w:r>
            <w:r w:rsidR="002142AA">
              <w:t xml:space="preserve"> Service</w:t>
            </w:r>
            <w:r w:rsidR="00CA2D4B">
              <w:t xml:space="preserve"> for </w:t>
            </w:r>
            <w:r w:rsidR="002142AA">
              <w:t>L</w:t>
            </w:r>
            <w:r w:rsidR="00CA2D4B">
              <w:t xml:space="preserve">and </w:t>
            </w:r>
            <w:r w:rsidR="002142AA">
              <w:t>E</w:t>
            </w:r>
            <w:r w:rsidR="00CA2D4B">
              <w:t>xchange</w:t>
            </w:r>
            <w:r w:rsidR="002142AA">
              <w:t xml:space="preserve">s” (FSH 5409.12, 15 – Exhibit </w:t>
            </w:r>
            <w:r w:rsidR="001D748F">
              <w:t>0</w:t>
            </w:r>
            <w:r w:rsidR="002142AA">
              <w:t>2)</w:t>
            </w:r>
            <w:r w:rsidR="00CA2D4B">
              <w:t xml:space="preserve"> </w:t>
            </w:r>
            <w:r w:rsidR="001D748F">
              <w:t>(Included in binder)</w:t>
            </w:r>
          </w:p>
        </w:tc>
      </w:tr>
      <w:tr w:rsidR="001D748F" w:rsidRPr="00BA7FE7" w:rsidTr="00D401BC">
        <w:trPr>
          <w:trHeight w:val="720"/>
        </w:trPr>
        <w:tc>
          <w:tcPr>
            <w:tcW w:w="9216" w:type="dxa"/>
            <w:gridSpan w:val="3"/>
            <w:vAlign w:val="center"/>
          </w:tcPr>
          <w:p w:rsidR="001D748F" w:rsidRPr="00BA7FE7" w:rsidRDefault="001D748F" w:rsidP="00D318CD">
            <w:pPr>
              <w:jc w:val="center"/>
              <w:rPr>
                <w:b/>
                <w:sz w:val="24"/>
                <w:szCs w:val="24"/>
              </w:rPr>
            </w:pPr>
            <w:r w:rsidRPr="00BA7FE7">
              <w:rPr>
                <w:b/>
                <w:sz w:val="24"/>
                <w:szCs w:val="24"/>
              </w:rPr>
              <w:t xml:space="preserve">What Type of Service </w:t>
            </w:r>
            <w:r w:rsidR="006E0135">
              <w:rPr>
                <w:b/>
                <w:sz w:val="24"/>
                <w:szCs w:val="24"/>
              </w:rPr>
              <w:t>do you Need</w:t>
            </w:r>
            <w:r w:rsidRPr="00BA7FE7">
              <w:rPr>
                <w:b/>
                <w:sz w:val="24"/>
                <w:szCs w:val="24"/>
              </w:rPr>
              <w:t>?</w:t>
            </w:r>
          </w:p>
          <w:p w:rsidR="001D748F" w:rsidRPr="00BA7FE7" w:rsidRDefault="001D748F" w:rsidP="00D318CD">
            <w:pPr>
              <w:jc w:val="center"/>
              <w:rPr>
                <w:b/>
                <w:sz w:val="24"/>
                <w:szCs w:val="24"/>
              </w:rPr>
            </w:pPr>
            <w:r w:rsidRPr="00BA7FE7">
              <w:rPr>
                <w:b/>
                <w:sz w:val="24"/>
                <w:szCs w:val="24"/>
              </w:rPr>
              <w:t>(Reference Sample in Notebook)</w:t>
            </w:r>
          </w:p>
        </w:tc>
      </w:tr>
      <w:tr w:rsidR="0039520C" w:rsidRPr="0029740E" w:rsidTr="00D401BC">
        <w:tc>
          <w:tcPr>
            <w:tcW w:w="9216" w:type="dxa"/>
            <w:gridSpan w:val="3"/>
            <w:vAlign w:val="center"/>
          </w:tcPr>
          <w:p w:rsidR="0039520C" w:rsidRPr="0029740E" w:rsidRDefault="0039520C" w:rsidP="009548B0">
            <w:r>
              <w:t>Land exchange feasibility consultation</w:t>
            </w:r>
          </w:p>
        </w:tc>
      </w:tr>
      <w:tr w:rsidR="00AA6AFB" w:rsidRPr="0029740E" w:rsidTr="00D401BC">
        <w:tc>
          <w:tcPr>
            <w:tcW w:w="9216" w:type="dxa"/>
            <w:gridSpan w:val="3"/>
            <w:vAlign w:val="center"/>
          </w:tcPr>
          <w:p w:rsidR="00AA6AFB" w:rsidRPr="0029740E" w:rsidRDefault="00AA6AFB" w:rsidP="009548B0">
            <w:r>
              <w:t>Appraisal and review</w:t>
            </w:r>
          </w:p>
        </w:tc>
      </w:tr>
      <w:tr w:rsidR="009548B0" w:rsidRPr="0029740E" w:rsidTr="009548B0">
        <w:tc>
          <w:tcPr>
            <w:tcW w:w="4689" w:type="dxa"/>
            <w:gridSpan w:val="2"/>
            <w:vAlign w:val="center"/>
          </w:tcPr>
          <w:p w:rsidR="009548B0" w:rsidRDefault="009548B0" w:rsidP="009548B0">
            <w:r>
              <w:t>Appraisal fee estimate</w:t>
            </w:r>
          </w:p>
        </w:tc>
        <w:tc>
          <w:tcPr>
            <w:tcW w:w="4527" w:type="dxa"/>
            <w:vAlign w:val="center"/>
          </w:tcPr>
          <w:p w:rsidR="009548B0" w:rsidRDefault="009548B0" w:rsidP="00AA6AFB">
            <w:pPr>
              <w:jc w:val="center"/>
            </w:pPr>
          </w:p>
        </w:tc>
      </w:tr>
      <w:tr w:rsidR="0039520C" w:rsidRPr="0029740E" w:rsidTr="00D401BC">
        <w:tc>
          <w:tcPr>
            <w:tcW w:w="4689" w:type="dxa"/>
            <w:gridSpan w:val="2"/>
            <w:vAlign w:val="center"/>
          </w:tcPr>
          <w:p w:rsidR="0039520C" w:rsidRDefault="00AA6AFB" w:rsidP="00D43CFB">
            <w:r>
              <w:t>Preliminary value estimate/consultation</w:t>
            </w:r>
          </w:p>
        </w:tc>
        <w:tc>
          <w:tcPr>
            <w:tcW w:w="4527" w:type="dxa"/>
            <w:vAlign w:val="center"/>
          </w:tcPr>
          <w:p w:rsidR="0039520C" w:rsidRPr="0029740E" w:rsidRDefault="0039520C" w:rsidP="00AA6AFB">
            <w:pPr>
              <w:jc w:val="center"/>
            </w:pPr>
          </w:p>
        </w:tc>
      </w:tr>
      <w:tr w:rsidR="0039520C" w:rsidRPr="0029740E" w:rsidTr="00D401BC">
        <w:tc>
          <w:tcPr>
            <w:tcW w:w="4689" w:type="dxa"/>
            <w:gridSpan w:val="2"/>
            <w:tcBorders>
              <w:bottom w:val="double" w:sz="4" w:space="0" w:color="auto"/>
            </w:tcBorders>
            <w:vAlign w:val="center"/>
          </w:tcPr>
          <w:p w:rsidR="00D43CFB" w:rsidRDefault="00AA6AFB" w:rsidP="009548B0">
            <w:r>
              <w:t>Other written consultation</w:t>
            </w:r>
          </w:p>
        </w:tc>
        <w:tc>
          <w:tcPr>
            <w:tcW w:w="4527" w:type="dxa"/>
            <w:tcBorders>
              <w:bottom w:val="double" w:sz="4" w:space="0" w:color="auto"/>
            </w:tcBorders>
            <w:vAlign w:val="center"/>
          </w:tcPr>
          <w:p w:rsidR="0039520C" w:rsidRPr="0029740E" w:rsidRDefault="0039520C" w:rsidP="00AA6AFB">
            <w:pPr>
              <w:jc w:val="center"/>
            </w:pPr>
          </w:p>
        </w:tc>
      </w:tr>
      <w:tr w:rsidR="00AA6AFB" w:rsidRPr="0029740E" w:rsidTr="00D401BC">
        <w:trPr>
          <w:trHeight w:val="432"/>
        </w:trPr>
        <w:tc>
          <w:tcPr>
            <w:tcW w:w="9216" w:type="dxa"/>
            <w:gridSpan w:val="3"/>
            <w:vAlign w:val="center"/>
          </w:tcPr>
          <w:p w:rsidR="00AA6AFB" w:rsidRPr="00AA6AFB" w:rsidRDefault="00AA6AFB" w:rsidP="00AA6AFB">
            <w:pPr>
              <w:jc w:val="center"/>
              <w:rPr>
                <w:b/>
              </w:rPr>
            </w:pPr>
            <w:r>
              <w:rPr>
                <w:b/>
              </w:rPr>
              <w:t>When?</w:t>
            </w:r>
          </w:p>
        </w:tc>
      </w:tr>
      <w:tr w:rsidR="00AA6AFB" w:rsidRPr="0029740E" w:rsidTr="00D401BC">
        <w:tc>
          <w:tcPr>
            <w:tcW w:w="9216" w:type="dxa"/>
            <w:gridSpan w:val="3"/>
            <w:vAlign w:val="center"/>
          </w:tcPr>
          <w:p w:rsidR="00AA6AFB" w:rsidRDefault="00AA6AFB" w:rsidP="00AA6AFB">
            <w:r>
              <w:t>Involvement as early in the process as possible (BLM refer to IM-2006-231 in book on ordering an appraisal)</w:t>
            </w:r>
          </w:p>
          <w:p w:rsidR="00D42864" w:rsidRPr="0029740E" w:rsidRDefault="00D42864" w:rsidP="00AA6AFB"/>
        </w:tc>
      </w:tr>
      <w:tr w:rsidR="00AA6AFB" w:rsidRPr="0029740E" w:rsidTr="00D401BC">
        <w:tc>
          <w:tcPr>
            <w:tcW w:w="9216" w:type="dxa"/>
            <w:gridSpan w:val="3"/>
            <w:tcBorders>
              <w:bottom w:val="double" w:sz="4" w:space="0" w:color="auto"/>
            </w:tcBorders>
            <w:vAlign w:val="center"/>
          </w:tcPr>
          <w:p w:rsidR="00AA6AFB" w:rsidRDefault="00AA6AFB" w:rsidP="00AA6AFB">
            <w:r>
              <w:t xml:space="preserve">Appraiser must conduct a field visit so </w:t>
            </w:r>
            <w:r w:rsidRPr="00B870D7">
              <w:t xml:space="preserve">consider the </w:t>
            </w:r>
            <w:r>
              <w:t>time of the year and be aware of possible seasonal limitations.</w:t>
            </w:r>
          </w:p>
          <w:p w:rsidR="00B870D7" w:rsidRPr="0029740E" w:rsidRDefault="00B870D7" w:rsidP="00AA6AFB"/>
        </w:tc>
      </w:tr>
      <w:tr w:rsidR="00BA7FE7" w:rsidRPr="00BA7FE7" w:rsidTr="00D401BC">
        <w:trPr>
          <w:trHeight w:val="432"/>
        </w:trPr>
        <w:tc>
          <w:tcPr>
            <w:tcW w:w="9216" w:type="dxa"/>
            <w:gridSpan w:val="3"/>
            <w:tcBorders>
              <w:top w:val="double" w:sz="4" w:space="0" w:color="auto"/>
            </w:tcBorders>
            <w:vAlign w:val="center"/>
          </w:tcPr>
          <w:p w:rsidR="00BA7FE7" w:rsidRPr="00BA7FE7" w:rsidRDefault="00B870D7" w:rsidP="00BA7FE7">
            <w:pPr>
              <w:jc w:val="center"/>
              <w:rPr>
                <w:b/>
                <w:sz w:val="24"/>
                <w:szCs w:val="24"/>
              </w:rPr>
            </w:pPr>
            <w:r>
              <w:rPr>
                <w:b/>
                <w:sz w:val="24"/>
                <w:szCs w:val="24"/>
              </w:rPr>
              <w:t>Appraisal Review Process</w:t>
            </w:r>
          </w:p>
        </w:tc>
      </w:tr>
      <w:tr w:rsidR="003D09BE" w:rsidRPr="0029740E" w:rsidTr="00D401BC">
        <w:tc>
          <w:tcPr>
            <w:tcW w:w="4689" w:type="dxa"/>
            <w:gridSpan w:val="2"/>
            <w:vAlign w:val="center"/>
          </w:tcPr>
          <w:p w:rsidR="003D09BE" w:rsidRPr="00B870D7" w:rsidRDefault="003D09BE" w:rsidP="002B77AB">
            <w:r w:rsidRPr="00B870D7">
              <w:t>By OVS</w:t>
            </w:r>
          </w:p>
        </w:tc>
        <w:tc>
          <w:tcPr>
            <w:tcW w:w="4527" w:type="dxa"/>
            <w:vAlign w:val="center"/>
          </w:tcPr>
          <w:p w:rsidR="003D09BE" w:rsidRPr="00B870D7" w:rsidRDefault="003D09BE" w:rsidP="00865D34">
            <w:r w:rsidRPr="00B870D7">
              <w:t xml:space="preserve">By </w:t>
            </w:r>
            <w:r w:rsidR="00865D34" w:rsidRPr="00B870D7">
              <w:t>assigned Review</w:t>
            </w:r>
            <w:r w:rsidRPr="00B870D7">
              <w:t xml:space="preserve"> Appraiser</w:t>
            </w:r>
          </w:p>
        </w:tc>
      </w:tr>
      <w:tr w:rsidR="00BA7FE7" w:rsidRPr="0029740E" w:rsidTr="00D401BC">
        <w:tc>
          <w:tcPr>
            <w:tcW w:w="9216" w:type="dxa"/>
            <w:gridSpan w:val="3"/>
            <w:vAlign w:val="center"/>
          </w:tcPr>
          <w:p w:rsidR="00BA7FE7" w:rsidRDefault="0022731F" w:rsidP="00AA6AFB">
            <w:r>
              <w:t>R</w:t>
            </w:r>
            <w:r w:rsidR="00BA7FE7">
              <w:t>eceives request and validates with requestor</w:t>
            </w:r>
          </w:p>
          <w:p w:rsidR="00BA7FE7" w:rsidRDefault="00BA7FE7" w:rsidP="00BA7FE7">
            <w:pPr>
              <w:pStyle w:val="ListParagraph"/>
              <w:numPr>
                <w:ilvl w:val="0"/>
                <w:numId w:val="8"/>
              </w:numPr>
            </w:pPr>
            <w:r>
              <w:t>Is request complete?</w:t>
            </w:r>
          </w:p>
          <w:p w:rsidR="00BA7FE7" w:rsidRDefault="00BA7FE7" w:rsidP="00BA7FE7">
            <w:pPr>
              <w:pStyle w:val="ListParagraph"/>
              <w:numPr>
                <w:ilvl w:val="0"/>
                <w:numId w:val="8"/>
              </w:numPr>
            </w:pPr>
            <w:r>
              <w:t>Realistic due date?</w:t>
            </w:r>
          </w:p>
          <w:p w:rsidR="00BA7FE7" w:rsidRDefault="00BA7FE7" w:rsidP="00BA7FE7">
            <w:pPr>
              <w:pStyle w:val="ListParagraph"/>
              <w:numPr>
                <w:ilvl w:val="0"/>
                <w:numId w:val="8"/>
              </w:numPr>
            </w:pPr>
            <w:r>
              <w:t>Agency priority?</w:t>
            </w:r>
          </w:p>
          <w:p w:rsidR="00BA7FE7" w:rsidRDefault="00BA7FE7" w:rsidP="00BA7FE7">
            <w:pPr>
              <w:pStyle w:val="ListParagraph"/>
              <w:numPr>
                <w:ilvl w:val="0"/>
                <w:numId w:val="8"/>
              </w:numPr>
            </w:pPr>
            <w:r>
              <w:t>Purpose, background?</w:t>
            </w:r>
          </w:p>
          <w:p w:rsidR="00D42864" w:rsidRDefault="00D42864" w:rsidP="00D42864"/>
        </w:tc>
      </w:tr>
      <w:tr w:rsidR="00B870D7" w:rsidRPr="0029740E" w:rsidTr="00B870D7">
        <w:trPr>
          <w:trHeight w:val="377"/>
        </w:trPr>
        <w:tc>
          <w:tcPr>
            <w:tcW w:w="9216" w:type="dxa"/>
            <w:gridSpan w:val="3"/>
          </w:tcPr>
          <w:p w:rsidR="00B870D7" w:rsidRPr="00BA7FE7" w:rsidRDefault="00B870D7" w:rsidP="00AB1635">
            <w:r w:rsidRPr="0022731F">
              <w:t>W</w:t>
            </w:r>
            <w:r>
              <w:t>rites or validates Statement of Work</w:t>
            </w:r>
          </w:p>
        </w:tc>
      </w:tr>
      <w:tr w:rsidR="00B870D7" w:rsidRPr="0029740E" w:rsidTr="009335D5">
        <w:tc>
          <w:tcPr>
            <w:tcW w:w="9216" w:type="dxa"/>
            <w:gridSpan w:val="3"/>
            <w:vAlign w:val="center"/>
          </w:tcPr>
          <w:p w:rsidR="00B870D7" w:rsidRDefault="00B870D7" w:rsidP="003D09BE">
            <w:r>
              <w:t>Requests bids, reviews bids, submits award recommendation to Contracting Officer</w:t>
            </w:r>
            <w:r w:rsidR="00BD0B5C">
              <w:t xml:space="preserve"> </w:t>
            </w:r>
            <w:r>
              <w:t>(CO), if contract is used. CO awards contract.</w:t>
            </w:r>
          </w:p>
          <w:p w:rsidR="00B870D7" w:rsidRPr="0029740E" w:rsidRDefault="00B870D7" w:rsidP="00D43CFB"/>
        </w:tc>
      </w:tr>
      <w:tr w:rsidR="0022731F" w:rsidRPr="0029740E" w:rsidTr="00D401BC">
        <w:tc>
          <w:tcPr>
            <w:tcW w:w="9216" w:type="dxa"/>
            <w:gridSpan w:val="3"/>
            <w:vAlign w:val="center"/>
          </w:tcPr>
          <w:p w:rsidR="0022731F" w:rsidRDefault="0022731F" w:rsidP="002B77AB">
            <w:r>
              <w:t>Conducts technical desk review and field review, if warranted</w:t>
            </w:r>
          </w:p>
        </w:tc>
      </w:tr>
      <w:tr w:rsidR="0022731F" w:rsidRPr="0029740E" w:rsidTr="00D401BC">
        <w:tc>
          <w:tcPr>
            <w:tcW w:w="9216" w:type="dxa"/>
            <w:gridSpan w:val="3"/>
            <w:vAlign w:val="center"/>
          </w:tcPr>
          <w:p w:rsidR="0022731F" w:rsidRDefault="0022731F" w:rsidP="002B77AB">
            <w:r>
              <w:t>Requests additional information and /or corrections from Appraiser, if necessary</w:t>
            </w:r>
          </w:p>
        </w:tc>
      </w:tr>
      <w:tr w:rsidR="00865D34" w:rsidRPr="00865D34" w:rsidTr="00D401BC">
        <w:tc>
          <w:tcPr>
            <w:tcW w:w="4689" w:type="dxa"/>
            <w:gridSpan w:val="2"/>
          </w:tcPr>
          <w:p w:rsidR="00865D34" w:rsidRPr="00B870D7" w:rsidRDefault="00865D34" w:rsidP="00D43CFB">
            <w:r w:rsidRPr="00B870D7">
              <w:t xml:space="preserve">Writes review statement. Notifies requestor with Job Summary and Value Conclusion </w:t>
            </w:r>
          </w:p>
        </w:tc>
        <w:tc>
          <w:tcPr>
            <w:tcW w:w="4527" w:type="dxa"/>
          </w:tcPr>
          <w:p w:rsidR="00865D34" w:rsidRPr="00B870D7" w:rsidRDefault="00865D34" w:rsidP="00D43CFB">
            <w:r w:rsidRPr="00B870D7">
              <w:t>Writes Appraisal Review Report</w:t>
            </w:r>
            <w:r w:rsidR="00D43CFB" w:rsidRPr="00B870D7">
              <w:t>. P</w:t>
            </w:r>
            <w:r w:rsidRPr="00B870D7">
              <w:t>rovides copy of appraisal and appraisal review report to the Forest (client).</w:t>
            </w:r>
          </w:p>
        </w:tc>
      </w:tr>
      <w:tr w:rsidR="003D09BE" w:rsidRPr="0029740E" w:rsidTr="00D401BC">
        <w:tc>
          <w:tcPr>
            <w:tcW w:w="4689" w:type="dxa"/>
            <w:gridSpan w:val="2"/>
          </w:tcPr>
          <w:p w:rsidR="003D09BE" w:rsidRDefault="0022731F" w:rsidP="00D6723A">
            <w:r>
              <w:t>Distributes report</w:t>
            </w:r>
          </w:p>
          <w:p w:rsidR="00B870D7" w:rsidRDefault="00B870D7" w:rsidP="00D6723A"/>
          <w:p w:rsidR="00B870D7" w:rsidRDefault="0022731F" w:rsidP="00B870D7">
            <w:r>
              <w:t xml:space="preserve">NOTE: Upon written acceptance by the BLM of the appraisal </w:t>
            </w:r>
            <w:r w:rsidR="00B870D7">
              <w:t xml:space="preserve">from OVS </w:t>
            </w:r>
            <w:r>
              <w:t xml:space="preserve">and agreement on value by all parties to an exchange, the appraisal and appraisal review report are now </w:t>
            </w:r>
            <w:r>
              <w:rPr>
                <w:u w:val="single"/>
              </w:rPr>
              <w:t>legally</w:t>
            </w:r>
            <w:r>
              <w:t xml:space="preserve"> a</w:t>
            </w:r>
            <w:r w:rsidR="00B870D7">
              <w:t xml:space="preserve">vailable to the general public.  </w:t>
            </w:r>
          </w:p>
          <w:p w:rsidR="0022731F" w:rsidRPr="0022731F" w:rsidRDefault="00B870D7" w:rsidP="006E0135">
            <w:r>
              <w:lastRenderedPageBreak/>
              <w:t>H</w:t>
            </w:r>
            <w:r w:rsidR="0022731F">
              <w:t xml:space="preserve">owever, it is the BLM’s policy </w:t>
            </w:r>
            <w:r w:rsidR="006E0135">
              <w:t>to make them</w:t>
            </w:r>
            <w:r w:rsidR="0022731F">
              <w:t xml:space="preserve"> available upon issuance </w:t>
            </w:r>
            <w:r w:rsidR="0022731F" w:rsidRPr="00B870D7">
              <w:t>of the Notice of Decision or on a case-by-case basis.</w:t>
            </w:r>
          </w:p>
        </w:tc>
        <w:tc>
          <w:tcPr>
            <w:tcW w:w="4527" w:type="dxa"/>
          </w:tcPr>
          <w:p w:rsidR="00D6723A" w:rsidRPr="00B870D7" w:rsidRDefault="00D6723A" w:rsidP="00D6723A">
            <w:r w:rsidRPr="00B870D7">
              <w:lastRenderedPageBreak/>
              <w:t xml:space="preserve">FS policy </w:t>
            </w:r>
            <w:r w:rsidR="00D43CFB" w:rsidRPr="00B870D7">
              <w:t xml:space="preserve">is </w:t>
            </w:r>
            <w:r w:rsidRPr="00B870D7">
              <w:t>that final approved appraisal reports and appraisal review reports are made available, upon written request, to all interested parties (unless the responsible official documents a sound legal basis for denial) when:</w:t>
            </w:r>
          </w:p>
          <w:p w:rsidR="00B870D7" w:rsidRPr="00B870D7" w:rsidRDefault="00B870D7" w:rsidP="00D6723A"/>
          <w:p w:rsidR="00D6723A" w:rsidRPr="00B870D7" w:rsidRDefault="00D6723A" w:rsidP="00D6723A">
            <w:pPr>
              <w:pStyle w:val="ListParagraph"/>
              <w:numPr>
                <w:ilvl w:val="0"/>
                <w:numId w:val="9"/>
              </w:numPr>
            </w:pPr>
            <w:r w:rsidRPr="00B870D7">
              <w:lastRenderedPageBreak/>
              <w:t>An environmental assessment or draft environmental impact statement is released for public comment and the appraisal reports have been reviewed and approved for agency use, or;</w:t>
            </w:r>
          </w:p>
          <w:p w:rsidR="00D6723A" w:rsidRPr="00B870D7" w:rsidRDefault="00D6723A" w:rsidP="00D6723A">
            <w:pPr>
              <w:pStyle w:val="ListParagraph"/>
              <w:numPr>
                <w:ilvl w:val="0"/>
                <w:numId w:val="9"/>
              </w:numPr>
            </w:pPr>
            <w:r w:rsidRPr="00B870D7">
              <w:t xml:space="preserve">The NEPA decision to approve an exchange is made, and </w:t>
            </w:r>
            <w:r w:rsidR="006B265F" w:rsidRPr="00B870D7">
              <w:t>public</w:t>
            </w:r>
            <w:r w:rsidRPr="00B870D7">
              <w:t xml:space="preserve"> notice given</w:t>
            </w:r>
          </w:p>
          <w:p w:rsidR="00D6723A" w:rsidRPr="00B870D7" w:rsidRDefault="00D6723A" w:rsidP="00D6723A">
            <w:r w:rsidRPr="00B870D7">
              <w:t>Prior to release of the final approved appraisal report and appraisal review report, the</w:t>
            </w:r>
            <w:r w:rsidR="00D43CFB" w:rsidRPr="00B870D7">
              <w:t xml:space="preserve"> authorized officer informs non</w:t>
            </w:r>
            <w:r w:rsidRPr="00B870D7">
              <w:t>federal exchange parties that they may request in writing:</w:t>
            </w:r>
          </w:p>
          <w:p w:rsidR="00D6723A" w:rsidRPr="00B870D7" w:rsidRDefault="00D6723A" w:rsidP="00D6723A">
            <w:pPr>
              <w:pStyle w:val="ListParagraph"/>
              <w:numPr>
                <w:ilvl w:val="0"/>
                <w:numId w:val="10"/>
              </w:numPr>
            </w:pPr>
            <w:r w:rsidRPr="00B870D7">
              <w:t xml:space="preserve">A copy of the appraisal </w:t>
            </w:r>
            <w:r w:rsidR="006B265F" w:rsidRPr="00B870D7">
              <w:t>review</w:t>
            </w:r>
            <w:r w:rsidRPr="00B870D7">
              <w:t xml:space="preserve"> report</w:t>
            </w:r>
          </w:p>
          <w:p w:rsidR="00D6723A" w:rsidRPr="00B870D7" w:rsidRDefault="00D6723A" w:rsidP="00D6723A">
            <w:pPr>
              <w:pStyle w:val="ListParagraph"/>
              <w:numPr>
                <w:ilvl w:val="0"/>
                <w:numId w:val="10"/>
              </w:numPr>
            </w:pPr>
            <w:r w:rsidRPr="00B870D7">
              <w:t>A meeting with the assigned review appraiser to discuss the appraisal review report</w:t>
            </w:r>
          </w:p>
          <w:p w:rsidR="003D09BE" w:rsidRPr="00B870D7" w:rsidRDefault="006E0135" w:rsidP="006B265F">
            <w:r>
              <w:t xml:space="preserve">Release </w:t>
            </w:r>
            <w:r w:rsidR="006B265F" w:rsidRPr="00B870D7">
              <w:t xml:space="preserve">Appraisal </w:t>
            </w:r>
            <w:r>
              <w:t>R</w:t>
            </w:r>
            <w:r w:rsidR="006B265F" w:rsidRPr="00B870D7">
              <w:t xml:space="preserve">eports in accordance with provisions of the </w:t>
            </w:r>
            <w:r w:rsidR="0027125D" w:rsidRPr="00B870D7">
              <w:t xml:space="preserve">Freedom of </w:t>
            </w:r>
            <w:r w:rsidR="00D6723A" w:rsidRPr="00B870D7">
              <w:t>Information</w:t>
            </w:r>
            <w:r w:rsidR="006B265F" w:rsidRPr="00B870D7">
              <w:t xml:space="preserve"> Act (FOIA)</w:t>
            </w:r>
            <w:r w:rsidR="0027125D" w:rsidRPr="00B870D7">
              <w:t>. The Regional Director of Lands is responsible for approving the release of appraisal reports or appraisal information</w:t>
            </w:r>
            <w:r w:rsidR="006B265F" w:rsidRPr="00B870D7">
              <w:t xml:space="preserve">, </w:t>
            </w:r>
            <w:r w:rsidR="0027125D" w:rsidRPr="00B870D7">
              <w:t>consider</w:t>
            </w:r>
            <w:r w:rsidR="006B265F" w:rsidRPr="00B870D7">
              <w:t>ing</w:t>
            </w:r>
            <w:r w:rsidR="0027125D" w:rsidRPr="00B870D7">
              <w:t xml:space="preserve"> the Privacy Act, the confidentiality of business information in </w:t>
            </w:r>
            <w:r w:rsidR="006B265F" w:rsidRPr="00B870D7">
              <w:t>accordance</w:t>
            </w:r>
            <w:r w:rsidR="0027125D" w:rsidRPr="00B870D7">
              <w:t xml:space="preserve"> wit</w:t>
            </w:r>
            <w:r w:rsidR="006B265F" w:rsidRPr="00B870D7">
              <w:t>h</w:t>
            </w:r>
            <w:r w:rsidR="0027125D" w:rsidRPr="00B870D7">
              <w:t xml:space="preserve"> 7 CFR 1.11</w:t>
            </w:r>
            <w:r w:rsidR="006B265F" w:rsidRPr="00B870D7">
              <w:t>,</w:t>
            </w:r>
            <w:r w:rsidR="0027125D" w:rsidRPr="00B870D7">
              <w:t xml:space="preserve"> and the recommendation of the Regional Appraiser. </w:t>
            </w:r>
          </w:p>
          <w:p w:rsidR="00D42864" w:rsidRPr="006B265F" w:rsidRDefault="00D42864" w:rsidP="006B265F">
            <w:pPr>
              <w:rPr>
                <w:color w:val="FF0000"/>
              </w:rPr>
            </w:pPr>
          </w:p>
        </w:tc>
      </w:tr>
      <w:tr w:rsidR="00D42864" w:rsidRPr="0029740E" w:rsidTr="00D401BC">
        <w:tc>
          <w:tcPr>
            <w:tcW w:w="9216" w:type="dxa"/>
            <w:gridSpan w:val="3"/>
            <w:vAlign w:val="center"/>
          </w:tcPr>
          <w:p w:rsidR="00D42864" w:rsidRDefault="00D42864" w:rsidP="00B63602">
            <w:r>
              <w:lastRenderedPageBreak/>
              <w:t>Timeline – three months to six months</w:t>
            </w:r>
            <w:r w:rsidR="00B63602">
              <w:t xml:space="preserve"> to complete.</w:t>
            </w:r>
          </w:p>
          <w:p w:rsidR="00B63602" w:rsidRPr="0029740E" w:rsidRDefault="00B63602" w:rsidP="00D42864">
            <w:pPr>
              <w:jc w:val="center"/>
            </w:pPr>
          </w:p>
        </w:tc>
      </w:tr>
      <w:tr w:rsidR="00B63602" w:rsidRPr="0029740E" w:rsidTr="00D401BC">
        <w:tc>
          <w:tcPr>
            <w:tcW w:w="9216" w:type="dxa"/>
            <w:gridSpan w:val="3"/>
            <w:vAlign w:val="center"/>
          </w:tcPr>
          <w:p w:rsidR="00B63602" w:rsidRDefault="00B63602" w:rsidP="00B63602">
            <w:r>
              <w:t>The appraisal and appraisal review report are subject to the Privacy Act System.</w:t>
            </w:r>
          </w:p>
          <w:p w:rsidR="00B63602" w:rsidRDefault="00B63602" w:rsidP="00B63602"/>
        </w:tc>
      </w:tr>
      <w:tr w:rsidR="00B63602" w:rsidRPr="0029740E" w:rsidTr="00694C1E">
        <w:tc>
          <w:tcPr>
            <w:tcW w:w="4608" w:type="dxa"/>
            <w:tcBorders>
              <w:bottom w:val="double" w:sz="4" w:space="0" w:color="auto"/>
            </w:tcBorders>
            <w:vAlign w:val="center"/>
          </w:tcPr>
          <w:p w:rsidR="00B63602" w:rsidRPr="0029740E" w:rsidRDefault="00B63602" w:rsidP="00B63602">
            <w:r>
              <w:t>BLM must accept appraisal in writing from the OVS before it is subject to the Privacy Act System.</w:t>
            </w:r>
          </w:p>
        </w:tc>
        <w:tc>
          <w:tcPr>
            <w:tcW w:w="4608" w:type="dxa"/>
            <w:gridSpan w:val="2"/>
            <w:tcBorders>
              <w:bottom w:val="double" w:sz="4" w:space="0" w:color="auto"/>
            </w:tcBorders>
            <w:vAlign w:val="center"/>
          </w:tcPr>
          <w:p w:rsidR="00B63602" w:rsidRPr="0029740E" w:rsidRDefault="00B63602" w:rsidP="00D42864"/>
        </w:tc>
      </w:tr>
      <w:tr w:rsidR="00D42864" w:rsidRPr="0048631E" w:rsidTr="00D401BC">
        <w:trPr>
          <w:trHeight w:val="432"/>
        </w:trPr>
        <w:tc>
          <w:tcPr>
            <w:tcW w:w="9216" w:type="dxa"/>
            <w:gridSpan w:val="3"/>
            <w:tcBorders>
              <w:top w:val="double" w:sz="4" w:space="0" w:color="auto"/>
            </w:tcBorders>
            <w:vAlign w:val="center"/>
          </w:tcPr>
          <w:p w:rsidR="00D42864" w:rsidRPr="0048631E" w:rsidRDefault="00D42864" w:rsidP="002B77AB">
            <w:pPr>
              <w:jc w:val="center"/>
              <w:rPr>
                <w:b/>
                <w:sz w:val="24"/>
                <w:szCs w:val="24"/>
              </w:rPr>
            </w:pPr>
            <w:r w:rsidRPr="0048631E">
              <w:rPr>
                <w:b/>
                <w:sz w:val="24"/>
                <w:szCs w:val="24"/>
              </w:rPr>
              <w:t>Appraisal Validity Periods</w:t>
            </w:r>
          </w:p>
        </w:tc>
      </w:tr>
      <w:tr w:rsidR="003D09BE" w:rsidRPr="0029740E" w:rsidTr="00D401BC">
        <w:tc>
          <w:tcPr>
            <w:tcW w:w="4689" w:type="dxa"/>
            <w:gridSpan w:val="2"/>
            <w:vAlign w:val="center"/>
          </w:tcPr>
          <w:p w:rsidR="003D09BE" w:rsidRDefault="00D42864" w:rsidP="003D09BE">
            <w:r>
              <w:t>OVS can provide “Other Written Consultation”</w:t>
            </w:r>
          </w:p>
          <w:p w:rsidR="00D42864" w:rsidRDefault="00D42864" w:rsidP="003D09BE">
            <w:r>
              <w:t>Example recommendations:</w:t>
            </w:r>
          </w:p>
          <w:p w:rsidR="00D42864" w:rsidRDefault="00D42864" w:rsidP="00D42864">
            <w:pPr>
              <w:pStyle w:val="ListParagraph"/>
              <w:numPr>
                <w:ilvl w:val="0"/>
                <w:numId w:val="11"/>
              </w:numPr>
            </w:pPr>
            <w:r>
              <w:t>Extension</w:t>
            </w:r>
          </w:p>
          <w:p w:rsidR="00D42864" w:rsidRDefault="00D42864" w:rsidP="00B63602">
            <w:pPr>
              <w:pStyle w:val="ListParagraph"/>
              <w:numPr>
                <w:ilvl w:val="0"/>
                <w:numId w:val="11"/>
              </w:numPr>
            </w:pPr>
            <w:r>
              <w:t>Conduct new appraisal</w:t>
            </w:r>
          </w:p>
        </w:tc>
        <w:tc>
          <w:tcPr>
            <w:tcW w:w="4527" w:type="dxa"/>
            <w:vAlign w:val="center"/>
          </w:tcPr>
          <w:p w:rsidR="003D09BE" w:rsidRPr="0029740E" w:rsidRDefault="003D09BE" w:rsidP="002B77AB">
            <w:pPr>
              <w:jc w:val="center"/>
            </w:pPr>
          </w:p>
        </w:tc>
      </w:tr>
      <w:tr w:rsidR="003D09BE" w:rsidRPr="0029740E" w:rsidTr="00D401BC">
        <w:tc>
          <w:tcPr>
            <w:tcW w:w="4689" w:type="dxa"/>
            <w:gridSpan w:val="2"/>
          </w:tcPr>
          <w:p w:rsidR="003D09BE" w:rsidRDefault="0048631E" w:rsidP="0048631E">
            <w:r>
              <w:t>The shelf life of an appraisal depends on market conditions</w:t>
            </w:r>
            <w:r w:rsidR="00B63602">
              <w:t>.</w:t>
            </w:r>
          </w:p>
        </w:tc>
        <w:tc>
          <w:tcPr>
            <w:tcW w:w="4527" w:type="dxa"/>
          </w:tcPr>
          <w:p w:rsidR="003D09BE" w:rsidRPr="0048631E" w:rsidRDefault="0048631E" w:rsidP="00BD0B5C">
            <w:pPr>
              <w:rPr>
                <w:color w:val="FF0000"/>
              </w:rPr>
            </w:pPr>
            <w:r w:rsidRPr="00B63602">
              <w:t>All appraisal review reports clearly identify a timeframe, within which the appraisal report is useable. The expiration date is based on market trends.</w:t>
            </w:r>
          </w:p>
        </w:tc>
      </w:tr>
      <w:tr w:rsidR="003D09BE" w:rsidRPr="0029740E" w:rsidTr="00D401BC">
        <w:tc>
          <w:tcPr>
            <w:tcW w:w="4689" w:type="dxa"/>
            <w:gridSpan w:val="2"/>
            <w:vAlign w:val="center"/>
          </w:tcPr>
          <w:p w:rsidR="003D09BE" w:rsidRDefault="00D073F8" w:rsidP="003D09BE">
            <w:r>
              <w:t>Valuation date is usually the date the appraiser visited the parcels/site (refer to IM-2006-231 in book).</w:t>
            </w:r>
          </w:p>
        </w:tc>
        <w:tc>
          <w:tcPr>
            <w:tcW w:w="4527" w:type="dxa"/>
          </w:tcPr>
          <w:p w:rsidR="003D09BE" w:rsidRPr="00D073F8" w:rsidRDefault="00D073F8" w:rsidP="006E0135">
            <w:pPr>
              <w:rPr>
                <w:color w:val="FF0000"/>
              </w:rPr>
            </w:pPr>
            <w:r w:rsidRPr="00B63602">
              <w:t xml:space="preserve">The date of value is the date </w:t>
            </w:r>
            <w:r w:rsidR="006E0135">
              <w:t xml:space="preserve">of last inspection of </w:t>
            </w:r>
            <w:r w:rsidRPr="00B63602">
              <w:t>the property by the appraiser, unless otherwise specified.</w:t>
            </w:r>
          </w:p>
        </w:tc>
      </w:tr>
      <w:tr w:rsidR="003D09BE" w:rsidRPr="0029740E" w:rsidTr="00D401BC">
        <w:tc>
          <w:tcPr>
            <w:tcW w:w="4689" w:type="dxa"/>
            <w:gridSpan w:val="2"/>
            <w:vAlign w:val="center"/>
          </w:tcPr>
          <w:p w:rsidR="003D09BE" w:rsidRDefault="00D073F8" w:rsidP="003D09BE">
            <w:r>
              <w:t>Requires BLM acceptanc</w:t>
            </w:r>
            <w:r w:rsidR="00B63602">
              <w:t>e of value in a letter/decision from OVS.</w:t>
            </w:r>
          </w:p>
        </w:tc>
        <w:tc>
          <w:tcPr>
            <w:tcW w:w="4527" w:type="dxa"/>
            <w:vAlign w:val="center"/>
          </w:tcPr>
          <w:p w:rsidR="003D09BE" w:rsidRPr="0029740E" w:rsidRDefault="003D09BE" w:rsidP="002B77AB">
            <w:pPr>
              <w:jc w:val="center"/>
            </w:pPr>
          </w:p>
        </w:tc>
      </w:tr>
      <w:tr w:rsidR="00D073F8" w:rsidRPr="0029740E" w:rsidTr="00D401BC">
        <w:trPr>
          <w:trHeight w:val="432"/>
        </w:trPr>
        <w:tc>
          <w:tcPr>
            <w:tcW w:w="9216" w:type="dxa"/>
            <w:gridSpan w:val="3"/>
            <w:vAlign w:val="center"/>
          </w:tcPr>
          <w:p w:rsidR="00D073F8" w:rsidRPr="00D073F8" w:rsidRDefault="00D073F8" w:rsidP="00D073F8">
            <w:pPr>
              <w:jc w:val="center"/>
              <w:rPr>
                <w:b/>
                <w:sz w:val="24"/>
                <w:szCs w:val="24"/>
              </w:rPr>
            </w:pPr>
            <w:r>
              <w:rPr>
                <w:b/>
                <w:sz w:val="24"/>
                <w:szCs w:val="24"/>
              </w:rPr>
              <w:lastRenderedPageBreak/>
              <w:t>Third Party Appraisal Policy</w:t>
            </w:r>
          </w:p>
        </w:tc>
      </w:tr>
      <w:tr w:rsidR="003D09BE" w:rsidRPr="0029740E" w:rsidTr="00D401BC">
        <w:tc>
          <w:tcPr>
            <w:tcW w:w="4689" w:type="dxa"/>
            <w:gridSpan w:val="2"/>
          </w:tcPr>
          <w:p w:rsidR="003D09BE" w:rsidRDefault="001F7A50" w:rsidP="001F7A50">
            <w:r>
              <w:t xml:space="preserve">Third </w:t>
            </w:r>
            <w:r w:rsidR="006C058F">
              <w:t>party must contact OVS before appraiser selection or initiation of the appraisal process</w:t>
            </w:r>
          </w:p>
        </w:tc>
        <w:tc>
          <w:tcPr>
            <w:tcW w:w="4527" w:type="dxa"/>
          </w:tcPr>
          <w:p w:rsidR="003D09BE" w:rsidRPr="00B02FD2" w:rsidRDefault="0054695A" w:rsidP="00D43CFB">
            <w:pPr>
              <w:rPr>
                <w:color w:val="FF0000"/>
              </w:rPr>
            </w:pPr>
            <w:r w:rsidRPr="004D05D9">
              <w:t>It is FS policy that the agency pay</w:t>
            </w:r>
            <w:r w:rsidR="001F7A50" w:rsidRPr="004D05D9">
              <w:t>s</w:t>
            </w:r>
            <w:r w:rsidRPr="004D05D9">
              <w:t xml:space="preserve"> for private contract appraisal services</w:t>
            </w:r>
            <w:r w:rsidR="001F7A50" w:rsidRPr="004D05D9">
              <w:t xml:space="preserve">; however, the authorized officer may allow a </w:t>
            </w:r>
            <w:r w:rsidR="00D43CFB" w:rsidRPr="004D05D9">
              <w:t>third</w:t>
            </w:r>
            <w:r w:rsidR="001F7A50" w:rsidRPr="004D05D9">
              <w:t xml:space="preserve"> party to pay when it is in the interest of the government. The third party must agree in writing to contract with an appraiser acceptable to the FS. </w:t>
            </w:r>
            <w:r w:rsidR="00B02FD2">
              <w:rPr>
                <w:color w:val="FF0000"/>
              </w:rPr>
              <w:t>Acceptance of Gifts Act.</w:t>
            </w:r>
          </w:p>
        </w:tc>
      </w:tr>
      <w:tr w:rsidR="003D09BE" w:rsidRPr="0029740E" w:rsidTr="00D401BC">
        <w:tc>
          <w:tcPr>
            <w:tcW w:w="4689" w:type="dxa"/>
            <w:gridSpan w:val="2"/>
          </w:tcPr>
          <w:p w:rsidR="003D09BE" w:rsidRDefault="001F7A50" w:rsidP="001F7A50">
            <w:r w:rsidRPr="004D05D9">
              <w:t xml:space="preserve">OVS approves third </w:t>
            </w:r>
            <w:r>
              <w:t>party appraiser selection and writes or approves scope of work</w:t>
            </w:r>
          </w:p>
        </w:tc>
        <w:tc>
          <w:tcPr>
            <w:tcW w:w="4527" w:type="dxa"/>
          </w:tcPr>
          <w:p w:rsidR="003D09BE" w:rsidRPr="004D05D9" w:rsidRDefault="001F7A50" w:rsidP="001F7A50">
            <w:r w:rsidRPr="004D05D9">
              <w:t xml:space="preserve">The assigned staff review appraiser must participate in the selection of the contract appraiser, provide case-specific written instructions and technical specifications, and meet with the staff review appraiser for a pre-work conference.  </w:t>
            </w:r>
          </w:p>
        </w:tc>
      </w:tr>
      <w:tr w:rsidR="003D09BE" w:rsidRPr="0029740E" w:rsidTr="00D401BC">
        <w:tc>
          <w:tcPr>
            <w:tcW w:w="4689" w:type="dxa"/>
            <w:gridSpan w:val="2"/>
          </w:tcPr>
          <w:p w:rsidR="003D09BE" w:rsidRDefault="001F7A50" w:rsidP="001F7A50">
            <w:r>
              <w:t>OVS is named as client and intended user in the appraisal report</w:t>
            </w:r>
          </w:p>
        </w:tc>
        <w:tc>
          <w:tcPr>
            <w:tcW w:w="4527" w:type="dxa"/>
          </w:tcPr>
          <w:p w:rsidR="003D09BE" w:rsidRPr="004D05D9" w:rsidRDefault="001F7A50" w:rsidP="001F7A50">
            <w:r w:rsidRPr="004D05D9">
              <w:t>The appraiser will simultaneously disclose the appraisal to the assigned staff review appraiser at the time of disclosure to the third party</w:t>
            </w:r>
          </w:p>
        </w:tc>
      </w:tr>
      <w:tr w:rsidR="0013572B" w:rsidRPr="0029740E" w:rsidTr="00D401BC">
        <w:trPr>
          <w:trHeight w:val="432"/>
        </w:trPr>
        <w:tc>
          <w:tcPr>
            <w:tcW w:w="9216" w:type="dxa"/>
            <w:gridSpan w:val="3"/>
            <w:vAlign w:val="center"/>
          </w:tcPr>
          <w:p w:rsidR="0013572B" w:rsidRPr="0013572B" w:rsidRDefault="0013572B" w:rsidP="0013572B">
            <w:pPr>
              <w:jc w:val="center"/>
              <w:rPr>
                <w:b/>
                <w:sz w:val="24"/>
                <w:szCs w:val="24"/>
              </w:rPr>
            </w:pPr>
            <w:r>
              <w:rPr>
                <w:b/>
                <w:sz w:val="24"/>
                <w:szCs w:val="24"/>
              </w:rPr>
              <w:t>Approximately Equal Value</w:t>
            </w:r>
          </w:p>
        </w:tc>
      </w:tr>
      <w:tr w:rsidR="0078136C" w:rsidRPr="0029740E" w:rsidTr="00D401BC">
        <w:tc>
          <w:tcPr>
            <w:tcW w:w="9216" w:type="dxa"/>
            <w:gridSpan w:val="3"/>
          </w:tcPr>
          <w:p w:rsidR="0078136C" w:rsidRPr="0029740E" w:rsidRDefault="0078136C" w:rsidP="001F7A50">
            <w:r w:rsidRPr="004D05D9">
              <w:t xml:space="preserve">Must be </w:t>
            </w:r>
            <w:r>
              <w:t>in the public interest and the consummation of exchange will be expedited.</w:t>
            </w:r>
          </w:p>
        </w:tc>
      </w:tr>
      <w:tr w:rsidR="0078136C" w:rsidRPr="0029740E" w:rsidTr="00D401BC">
        <w:tc>
          <w:tcPr>
            <w:tcW w:w="9216" w:type="dxa"/>
            <w:gridSpan w:val="3"/>
          </w:tcPr>
          <w:p w:rsidR="0078136C" w:rsidRPr="00D43CFB" w:rsidRDefault="0078136C" w:rsidP="001F7A50">
            <w:r>
              <w:t>Federal lands leaving federal ownership are not more than $150,000 in value, based on a statement of value prepared by a qualified appraiser and accepted by an authorized officer.</w:t>
            </w:r>
          </w:p>
        </w:tc>
      </w:tr>
      <w:tr w:rsidR="0078136C" w:rsidRPr="0029740E" w:rsidTr="00D401BC">
        <w:tc>
          <w:tcPr>
            <w:tcW w:w="9216" w:type="dxa"/>
            <w:gridSpan w:val="3"/>
          </w:tcPr>
          <w:p w:rsidR="0078136C" w:rsidRPr="0029740E" w:rsidRDefault="0078136C" w:rsidP="001F7A50">
            <w:r>
              <w:t xml:space="preserve">Federal and nonfederal lands are substantially similar in location, acreage, use, and physical </w:t>
            </w:r>
            <w:r w:rsidR="009571B3">
              <w:t>attributes</w:t>
            </w:r>
            <w:r>
              <w:t>.</w:t>
            </w:r>
          </w:p>
        </w:tc>
      </w:tr>
      <w:tr w:rsidR="0078136C" w:rsidRPr="0029740E" w:rsidTr="00D401BC">
        <w:tc>
          <w:tcPr>
            <w:tcW w:w="9216" w:type="dxa"/>
            <w:gridSpan w:val="3"/>
          </w:tcPr>
          <w:p w:rsidR="0078136C" w:rsidRPr="0029740E" w:rsidRDefault="0078136C" w:rsidP="001F7A50">
            <w:r>
              <w:t>There are no significant elements of value requiring complex analysis.</w:t>
            </w:r>
          </w:p>
        </w:tc>
      </w:tr>
      <w:tr w:rsidR="0078136C" w:rsidRPr="0029740E" w:rsidTr="00D401BC">
        <w:tc>
          <w:tcPr>
            <w:tcW w:w="9216" w:type="dxa"/>
            <w:gridSpan w:val="3"/>
          </w:tcPr>
          <w:p w:rsidR="0078136C" w:rsidRPr="0029740E" w:rsidRDefault="0078136C" w:rsidP="001F7A50">
            <w:r>
              <w:t>The authorized officer, not the nonfederal party, determines whether the federal and nonfederal lands are approximately equal in value and must document how the determination was made to include the appraiser’s statement of value.</w:t>
            </w:r>
          </w:p>
        </w:tc>
      </w:tr>
    </w:tbl>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4D05D9" w:rsidRDefault="004D05D9" w:rsidP="00D401BC">
      <w:pPr>
        <w:jc w:val="center"/>
        <w:rPr>
          <w:b/>
          <w:sz w:val="28"/>
          <w:szCs w:val="28"/>
          <w:u w:val="single"/>
        </w:rPr>
      </w:pPr>
    </w:p>
    <w:p w:rsidR="00D401BC" w:rsidRPr="00B274C4" w:rsidRDefault="00D401BC" w:rsidP="00D401BC">
      <w:pPr>
        <w:jc w:val="center"/>
        <w:rPr>
          <w:b/>
          <w:sz w:val="28"/>
          <w:szCs w:val="28"/>
          <w:u w:val="single"/>
        </w:rPr>
      </w:pPr>
      <w:r w:rsidRPr="00B274C4">
        <w:rPr>
          <w:b/>
          <w:sz w:val="28"/>
          <w:szCs w:val="28"/>
          <w:u w:val="single"/>
        </w:rPr>
        <w:lastRenderedPageBreak/>
        <w:t>Serial Register Page</w:t>
      </w:r>
    </w:p>
    <w:p w:rsidR="00D401BC" w:rsidRDefault="00D401BC" w:rsidP="00D401BC">
      <w:pPr>
        <w:rPr>
          <w:sz w:val="24"/>
        </w:rPr>
      </w:pPr>
    </w:p>
    <w:p w:rsidR="00D401BC" w:rsidRDefault="00D401BC" w:rsidP="00D401BC">
      <w:pPr>
        <w:rPr>
          <w:sz w:val="24"/>
        </w:rPr>
      </w:pPr>
      <w:r>
        <w:rPr>
          <w:sz w:val="24"/>
        </w:rPr>
        <w:t>LR2000 is an automated land records system utilized by the Bureau of Land Management to list all actions pertaining to specific lands or mineral actions.</w:t>
      </w:r>
    </w:p>
    <w:p w:rsidR="00D401BC" w:rsidRDefault="00D401BC" w:rsidP="00D401BC">
      <w:pPr>
        <w:rPr>
          <w:sz w:val="24"/>
        </w:rPr>
      </w:pPr>
    </w:p>
    <w:p w:rsidR="00D401BC" w:rsidRDefault="00D401BC" w:rsidP="00D401BC">
      <w:pPr>
        <w:rPr>
          <w:sz w:val="24"/>
        </w:rPr>
      </w:pPr>
      <w:r>
        <w:rPr>
          <w:sz w:val="24"/>
        </w:rPr>
        <w:t>The serial number is applied to an individual and specific action and consists of the serial number, i.e., OR 12345, and a suffix.</w:t>
      </w:r>
    </w:p>
    <w:p w:rsidR="00D401BC" w:rsidRDefault="00D401BC" w:rsidP="00D401BC">
      <w:pPr>
        <w:ind w:firstLine="720"/>
        <w:rPr>
          <w:sz w:val="24"/>
        </w:rPr>
      </w:pPr>
      <w:r>
        <w:rPr>
          <w:sz w:val="24"/>
        </w:rPr>
        <w:t>- The suffix “FD” is used for the Federal lands, i.e., OR 12345-FD, and for subsequent individual Federal land actions, i.e., OR 12345-F1, OR 12345-F2 . . .</w:t>
      </w:r>
    </w:p>
    <w:p w:rsidR="00D401BC" w:rsidRDefault="00D401BC" w:rsidP="00D401BC">
      <w:pPr>
        <w:ind w:firstLine="720"/>
        <w:rPr>
          <w:sz w:val="24"/>
        </w:rPr>
      </w:pPr>
      <w:r>
        <w:rPr>
          <w:sz w:val="24"/>
        </w:rPr>
        <w:t>- The suffix “PT” is used for the private (non-Federal) lands, i.e., OR 12345-PT, and for subsequent individual private land actions, i.e., OR 12345-P1, OR 12345-P2 . . .</w:t>
      </w:r>
    </w:p>
    <w:p w:rsidR="00D401BC" w:rsidRDefault="00D401BC" w:rsidP="00D401BC">
      <w:pPr>
        <w:rPr>
          <w:sz w:val="24"/>
        </w:rPr>
      </w:pPr>
    </w:p>
    <w:p w:rsidR="00D401BC" w:rsidRDefault="00D401BC" w:rsidP="00D401BC">
      <w:pPr>
        <w:rPr>
          <w:sz w:val="24"/>
        </w:rPr>
      </w:pPr>
      <w:r>
        <w:rPr>
          <w:sz w:val="24"/>
        </w:rPr>
        <w:t xml:space="preserve">The following identifies the </w:t>
      </w:r>
      <w:r>
        <w:rPr>
          <w:sz w:val="24"/>
          <w:u w:val="single"/>
        </w:rPr>
        <w:t>re</w:t>
      </w:r>
      <w:r w:rsidRPr="00520A3F">
        <w:rPr>
          <w:sz w:val="24"/>
          <w:u w:val="single"/>
        </w:rPr>
        <w:t>quired</w:t>
      </w:r>
      <w:r>
        <w:rPr>
          <w:sz w:val="24"/>
        </w:rPr>
        <w:t xml:space="preserve"> action items to be input pursuant to the data standards for land exchanges:</w:t>
      </w:r>
    </w:p>
    <w:p w:rsidR="00D401BC" w:rsidRDefault="00D401BC" w:rsidP="00D401BC">
      <w:pPr>
        <w:rPr>
          <w:sz w:val="24"/>
        </w:rPr>
      </w:pPr>
    </w:p>
    <w:p w:rsidR="00D401BC" w:rsidRPr="00B17607" w:rsidRDefault="00D401BC" w:rsidP="00D401BC">
      <w:pPr>
        <w:rPr>
          <w:sz w:val="24"/>
          <w:u w:val="single"/>
        </w:rPr>
      </w:pPr>
      <w:r w:rsidRPr="00B17607">
        <w:rPr>
          <w:sz w:val="24"/>
          <w:u w:val="single"/>
        </w:rPr>
        <w:t>Federal Land SRP (OR 12345-FD, F1, F2, F3 . . .)</w:t>
      </w:r>
    </w:p>
    <w:p w:rsidR="00D401BC" w:rsidRDefault="00D401BC" w:rsidP="00D401BC">
      <w:pPr>
        <w:rPr>
          <w:sz w:val="24"/>
        </w:rPr>
      </w:pPr>
    </w:p>
    <w:p w:rsidR="00D401BC" w:rsidRDefault="00D401BC" w:rsidP="00D401BC">
      <w:pPr>
        <w:tabs>
          <w:tab w:val="left" w:pos="-1440"/>
        </w:tabs>
        <w:ind w:left="720" w:hanging="720"/>
        <w:rPr>
          <w:sz w:val="24"/>
        </w:rPr>
      </w:pPr>
      <w:r>
        <w:rPr>
          <w:sz w:val="24"/>
        </w:rPr>
        <w:t>387</w:t>
      </w:r>
      <w:r>
        <w:rPr>
          <w:sz w:val="24"/>
        </w:rPr>
        <w:tab/>
        <w:t>Case Established</w:t>
      </w:r>
    </w:p>
    <w:p w:rsidR="00D401BC" w:rsidRDefault="00D401BC" w:rsidP="00D401BC">
      <w:pPr>
        <w:tabs>
          <w:tab w:val="left" w:pos="-1440"/>
        </w:tabs>
        <w:ind w:left="720" w:hanging="720"/>
        <w:rPr>
          <w:sz w:val="24"/>
        </w:rPr>
      </w:pPr>
      <w:r>
        <w:rPr>
          <w:sz w:val="24"/>
        </w:rPr>
        <w:t>500</w:t>
      </w:r>
      <w:r>
        <w:rPr>
          <w:sz w:val="24"/>
        </w:rPr>
        <w:tab/>
        <w:t>Geographic Name</w:t>
      </w:r>
    </w:p>
    <w:p w:rsidR="00D401BC" w:rsidRDefault="00D401BC" w:rsidP="00D401BC">
      <w:pPr>
        <w:tabs>
          <w:tab w:val="left" w:pos="-1440"/>
        </w:tabs>
        <w:ind w:left="720" w:hanging="720"/>
        <w:rPr>
          <w:sz w:val="24"/>
        </w:rPr>
      </w:pPr>
      <w:r>
        <w:rPr>
          <w:sz w:val="24"/>
        </w:rPr>
        <w:t>305</w:t>
      </w:r>
      <w:r>
        <w:rPr>
          <w:sz w:val="24"/>
        </w:rPr>
        <w:tab/>
        <w:t>Agreement to Initiate Exchange (ATI)</w:t>
      </w:r>
    </w:p>
    <w:p w:rsidR="00D401BC" w:rsidRDefault="00D401BC" w:rsidP="00D401BC">
      <w:pPr>
        <w:tabs>
          <w:tab w:val="left" w:pos="-1440"/>
        </w:tabs>
        <w:ind w:left="720" w:hanging="720"/>
        <w:rPr>
          <w:sz w:val="24"/>
        </w:rPr>
      </w:pPr>
      <w:r>
        <w:rPr>
          <w:sz w:val="24"/>
        </w:rPr>
        <w:t>133</w:t>
      </w:r>
      <w:r>
        <w:rPr>
          <w:sz w:val="24"/>
        </w:rPr>
        <w:tab/>
        <w:t>Appraisal Requested</w:t>
      </w:r>
    </w:p>
    <w:p w:rsidR="00D401BC" w:rsidRDefault="00D401BC" w:rsidP="00D401BC">
      <w:pPr>
        <w:tabs>
          <w:tab w:val="left" w:pos="-1440"/>
        </w:tabs>
        <w:ind w:left="720" w:hanging="720"/>
        <w:rPr>
          <w:sz w:val="24"/>
        </w:rPr>
      </w:pPr>
      <w:r>
        <w:rPr>
          <w:sz w:val="24"/>
        </w:rPr>
        <w:t>132</w:t>
      </w:r>
      <w:r>
        <w:rPr>
          <w:sz w:val="24"/>
        </w:rPr>
        <w:tab/>
        <w:t>Appraisal Received (enter $ amount)</w:t>
      </w:r>
    </w:p>
    <w:p w:rsidR="00D401BC" w:rsidRDefault="00D401BC" w:rsidP="00D401BC">
      <w:pPr>
        <w:tabs>
          <w:tab w:val="left" w:pos="-1440"/>
        </w:tabs>
        <w:ind w:left="720" w:hanging="720"/>
        <w:rPr>
          <w:sz w:val="24"/>
        </w:rPr>
      </w:pPr>
      <w:r>
        <w:rPr>
          <w:sz w:val="24"/>
        </w:rPr>
        <w:t>862</w:t>
      </w:r>
      <w:r>
        <w:rPr>
          <w:sz w:val="24"/>
        </w:rPr>
        <w:tab/>
        <w:t>Notice of Exchange Proposal (NOEP)</w:t>
      </w:r>
    </w:p>
    <w:p w:rsidR="00D401BC" w:rsidRDefault="00D401BC" w:rsidP="00D401BC">
      <w:pPr>
        <w:tabs>
          <w:tab w:val="left" w:pos="-1440"/>
        </w:tabs>
        <w:ind w:left="720" w:hanging="720"/>
        <w:rPr>
          <w:sz w:val="24"/>
        </w:rPr>
      </w:pPr>
      <w:r>
        <w:rPr>
          <w:sz w:val="24"/>
        </w:rPr>
        <w:t>610</w:t>
      </w:r>
      <w:r>
        <w:rPr>
          <w:sz w:val="24"/>
        </w:rPr>
        <w:tab/>
        <w:t xml:space="preserve">Publish NOEP </w:t>
      </w:r>
    </w:p>
    <w:p w:rsidR="00D401BC" w:rsidRDefault="00D401BC" w:rsidP="00D401BC">
      <w:pPr>
        <w:tabs>
          <w:tab w:val="left" w:pos="-1440"/>
        </w:tabs>
        <w:ind w:left="720" w:hanging="720"/>
        <w:rPr>
          <w:sz w:val="24"/>
        </w:rPr>
      </w:pPr>
      <w:r>
        <w:rPr>
          <w:sz w:val="24"/>
        </w:rPr>
        <w:t>552</w:t>
      </w:r>
      <w:r>
        <w:rPr>
          <w:sz w:val="24"/>
        </w:rPr>
        <w:tab/>
        <w:t>Land Segregated</w:t>
      </w:r>
    </w:p>
    <w:p w:rsidR="00D401BC" w:rsidRDefault="00D401BC" w:rsidP="00D401BC">
      <w:pPr>
        <w:tabs>
          <w:tab w:val="left" w:pos="-1440"/>
        </w:tabs>
        <w:ind w:left="720" w:hanging="720"/>
        <w:rPr>
          <w:sz w:val="24"/>
        </w:rPr>
      </w:pPr>
      <w:r>
        <w:rPr>
          <w:sz w:val="24"/>
        </w:rPr>
        <w:t>543</w:t>
      </w:r>
      <w:r>
        <w:rPr>
          <w:sz w:val="24"/>
        </w:rPr>
        <w:tab/>
        <w:t>Segregation (Mineral)</w:t>
      </w:r>
    </w:p>
    <w:p w:rsidR="00D401BC" w:rsidRDefault="00D401BC" w:rsidP="00D401BC">
      <w:pPr>
        <w:tabs>
          <w:tab w:val="left" w:pos="-1440"/>
        </w:tabs>
        <w:ind w:left="720" w:hanging="720"/>
        <w:rPr>
          <w:sz w:val="24"/>
        </w:rPr>
      </w:pPr>
      <w:r>
        <w:rPr>
          <w:sz w:val="24"/>
        </w:rPr>
        <w:t>544</w:t>
      </w:r>
      <w:r>
        <w:rPr>
          <w:sz w:val="24"/>
        </w:rPr>
        <w:tab/>
        <w:t>Segregation (Surface)</w:t>
      </w:r>
    </w:p>
    <w:p w:rsidR="00D401BC" w:rsidRDefault="00D401BC" w:rsidP="00D401BC">
      <w:pPr>
        <w:tabs>
          <w:tab w:val="left" w:pos="-1440"/>
        </w:tabs>
        <w:ind w:left="720" w:hanging="720"/>
        <w:rPr>
          <w:sz w:val="24"/>
        </w:rPr>
      </w:pPr>
      <w:r>
        <w:rPr>
          <w:sz w:val="24"/>
        </w:rPr>
        <w:t>247</w:t>
      </w:r>
      <w:r>
        <w:rPr>
          <w:sz w:val="24"/>
        </w:rPr>
        <w:tab/>
        <w:t>Future Action Suspense (segregation expires)</w:t>
      </w:r>
    </w:p>
    <w:p w:rsidR="00D401BC" w:rsidRDefault="00D401BC" w:rsidP="00D401BC">
      <w:pPr>
        <w:tabs>
          <w:tab w:val="left" w:pos="-1440"/>
        </w:tabs>
        <w:ind w:left="720" w:hanging="720"/>
        <w:rPr>
          <w:sz w:val="24"/>
        </w:rPr>
      </w:pPr>
      <w:r>
        <w:rPr>
          <w:sz w:val="24"/>
        </w:rPr>
        <w:t>068</w:t>
      </w:r>
      <w:r>
        <w:rPr>
          <w:sz w:val="24"/>
        </w:rPr>
        <w:tab/>
        <w:t>Contaminant Survey Approved</w:t>
      </w:r>
    </w:p>
    <w:p w:rsidR="00D401BC" w:rsidRPr="0023771C" w:rsidRDefault="00D401BC" w:rsidP="00D401BC">
      <w:pPr>
        <w:tabs>
          <w:tab w:val="left" w:pos="-1440"/>
        </w:tabs>
        <w:ind w:left="720" w:hanging="720"/>
        <w:rPr>
          <w:b/>
          <w:sz w:val="24"/>
        </w:rPr>
      </w:pPr>
      <w:r w:rsidRPr="0023771C">
        <w:rPr>
          <w:b/>
          <w:sz w:val="24"/>
          <w:shd w:val="clear" w:color="auto" w:fill="FFFF99"/>
        </w:rPr>
        <w:t>247</w:t>
      </w:r>
      <w:r w:rsidRPr="0023771C">
        <w:rPr>
          <w:b/>
          <w:sz w:val="24"/>
          <w:shd w:val="clear" w:color="auto" w:fill="FFFF99"/>
        </w:rPr>
        <w:tab/>
        <w:t>Future Action Suspense (appraisal validity period ends)</w:t>
      </w:r>
      <w:r>
        <w:rPr>
          <w:b/>
          <w:sz w:val="24"/>
          <w:shd w:val="clear" w:color="auto" w:fill="FFFF99"/>
        </w:rPr>
        <w:t xml:space="preserve"> </w:t>
      </w:r>
      <w:r>
        <w:rPr>
          <w:b/>
          <w:sz w:val="24"/>
          <w:u w:val="single"/>
          <w:shd w:val="clear" w:color="auto" w:fill="FFFF99"/>
        </w:rPr>
        <w:t>1</w:t>
      </w:r>
      <w:r>
        <w:rPr>
          <w:b/>
          <w:sz w:val="24"/>
          <w:shd w:val="clear" w:color="auto" w:fill="FFFF99"/>
        </w:rPr>
        <w:t>/</w:t>
      </w:r>
    </w:p>
    <w:p w:rsidR="00D401BC" w:rsidRDefault="00D401BC" w:rsidP="00D401BC">
      <w:pPr>
        <w:tabs>
          <w:tab w:val="left" w:pos="-1440"/>
        </w:tabs>
        <w:ind w:left="720" w:hanging="720"/>
        <w:rPr>
          <w:sz w:val="24"/>
        </w:rPr>
      </w:pPr>
      <w:r>
        <w:rPr>
          <w:sz w:val="24"/>
        </w:rPr>
        <w:t>863</w:t>
      </w:r>
      <w:r>
        <w:rPr>
          <w:sz w:val="24"/>
        </w:rPr>
        <w:tab/>
        <w:t>Notice of Decision</w:t>
      </w:r>
    </w:p>
    <w:p w:rsidR="00D401BC" w:rsidRDefault="00D401BC" w:rsidP="00D401BC">
      <w:pPr>
        <w:tabs>
          <w:tab w:val="left" w:pos="-1440"/>
        </w:tabs>
        <w:ind w:left="720" w:hanging="720"/>
        <w:rPr>
          <w:sz w:val="24"/>
        </w:rPr>
      </w:pPr>
      <w:r>
        <w:rPr>
          <w:sz w:val="24"/>
        </w:rPr>
        <w:t>229</w:t>
      </w:r>
      <w:r>
        <w:rPr>
          <w:sz w:val="24"/>
        </w:rPr>
        <w:tab/>
        <w:t>Binding Exchange Agreement (if necessary)</w:t>
      </w:r>
    </w:p>
    <w:p w:rsidR="00D401BC" w:rsidRDefault="00D401BC" w:rsidP="00D401BC">
      <w:pPr>
        <w:tabs>
          <w:tab w:val="left" w:pos="-1440"/>
        </w:tabs>
        <w:ind w:left="720" w:hanging="720"/>
        <w:rPr>
          <w:sz w:val="24"/>
        </w:rPr>
      </w:pPr>
      <w:r>
        <w:rPr>
          <w:sz w:val="24"/>
        </w:rPr>
        <w:t>392</w:t>
      </w:r>
      <w:r>
        <w:rPr>
          <w:sz w:val="24"/>
        </w:rPr>
        <w:tab/>
        <w:t>Monies Received (enter $ amount)</w:t>
      </w:r>
    </w:p>
    <w:p w:rsidR="00D401BC" w:rsidRDefault="00D401BC" w:rsidP="00D401BC">
      <w:pPr>
        <w:tabs>
          <w:tab w:val="left" w:pos="-1440"/>
        </w:tabs>
        <w:ind w:left="720" w:hanging="720"/>
        <w:rPr>
          <w:sz w:val="24"/>
        </w:rPr>
      </w:pPr>
      <w:r>
        <w:rPr>
          <w:sz w:val="24"/>
        </w:rPr>
        <w:t>271</w:t>
      </w:r>
      <w:r>
        <w:rPr>
          <w:sz w:val="24"/>
        </w:rPr>
        <w:tab/>
        <w:t>Patent issued (enter patent number)</w:t>
      </w:r>
    </w:p>
    <w:p w:rsidR="00D401BC" w:rsidRDefault="004D05D9" w:rsidP="00D401BC">
      <w:pPr>
        <w:ind w:firstLine="720"/>
        <w:rPr>
          <w:sz w:val="24"/>
        </w:rPr>
      </w:pPr>
      <w:r>
        <w:rPr>
          <w:sz w:val="24"/>
        </w:rPr>
        <w:t>O</w:t>
      </w:r>
      <w:r w:rsidR="00D401BC">
        <w:rPr>
          <w:sz w:val="24"/>
        </w:rPr>
        <w:t>r</w:t>
      </w:r>
    </w:p>
    <w:p w:rsidR="004D05D9" w:rsidRDefault="004D05D9" w:rsidP="00D401BC">
      <w:pPr>
        <w:ind w:firstLine="720"/>
        <w:rPr>
          <w:sz w:val="24"/>
        </w:rPr>
      </w:pPr>
    </w:p>
    <w:p w:rsidR="004D05D9" w:rsidRDefault="004D05D9" w:rsidP="00D401BC">
      <w:pPr>
        <w:ind w:firstLine="720"/>
        <w:rPr>
          <w:sz w:val="24"/>
        </w:rPr>
      </w:pPr>
    </w:p>
    <w:p w:rsidR="004D05D9" w:rsidRDefault="004D05D9" w:rsidP="00D401BC">
      <w:pPr>
        <w:ind w:firstLine="720"/>
        <w:rPr>
          <w:sz w:val="24"/>
        </w:rPr>
      </w:pPr>
    </w:p>
    <w:p w:rsidR="00D401BC" w:rsidRDefault="00D401BC" w:rsidP="00D401BC">
      <w:pPr>
        <w:tabs>
          <w:tab w:val="left" w:pos="-1440"/>
        </w:tabs>
        <w:ind w:left="720" w:hanging="720"/>
        <w:rPr>
          <w:sz w:val="24"/>
        </w:rPr>
      </w:pPr>
      <w:r>
        <w:rPr>
          <w:sz w:val="24"/>
        </w:rPr>
        <w:lastRenderedPageBreak/>
        <w:t>620</w:t>
      </w:r>
      <w:r>
        <w:rPr>
          <w:sz w:val="24"/>
        </w:rPr>
        <w:tab/>
        <w:t>QCD-Disclaimer issued</w:t>
      </w:r>
    </w:p>
    <w:p w:rsidR="00D401BC" w:rsidRDefault="00D401BC" w:rsidP="00D401BC">
      <w:pPr>
        <w:tabs>
          <w:tab w:val="left" w:pos="-1440"/>
        </w:tabs>
        <w:ind w:left="720" w:hanging="720"/>
        <w:rPr>
          <w:sz w:val="24"/>
        </w:rPr>
      </w:pPr>
      <w:r>
        <w:rPr>
          <w:sz w:val="24"/>
        </w:rPr>
        <w:t>400</w:t>
      </w:r>
      <w:r>
        <w:rPr>
          <w:sz w:val="24"/>
        </w:rPr>
        <w:tab/>
        <w:t>US Rights Acquired (enter rights reserved code)</w:t>
      </w:r>
    </w:p>
    <w:p w:rsidR="00D401BC" w:rsidRDefault="00D401BC" w:rsidP="00D401BC">
      <w:pPr>
        <w:tabs>
          <w:tab w:val="left" w:pos="-1440"/>
        </w:tabs>
        <w:ind w:left="720" w:hanging="720"/>
        <w:rPr>
          <w:sz w:val="24"/>
        </w:rPr>
      </w:pPr>
      <w:r>
        <w:rPr>
          <w:sz w:val="24"/>
        </w:rPr>
        <w:t>372</w:t>
      </w:r>
      <w:r>
        <w:rPr>
          <w:sz w:val="24"/>
        </w:rPr>
        <w:tab/>
        <w:t>Segregation Terminated</w:t>
      </w:r>
    </w:p>
    <w:p w:rsidR="00D401BC" w:rsidRDefault="00D401BC" w:rsidP="00D401BC">
      <w:pPr>
        <w:tabs>
          <w:tab w:val="left" w:pos="-1440"/>
        </w:tabs>
        <w:ind w:left="720" w:hanging="720"/>
        <w:rPr>
          <w:sz w:val="24"/>
        </w:rPr>
      </w:pPr>
      <w:r>
        <w:rPr>
          <w:sz w:val="24"/>
        </w:rPr>
        <w:t>968</w:t>
      </w:r>
      <w:r>
        <w:rPr>
          <w:sz w:val="24"/>
        </w:rPr>
        <w:tab/>
        <w:t>Case Action Completed</w:t>
      </w:r>
    </w:p>
    <w:p w:rsidR="00D401BC" w:rsidRDefault="00D401BC" w:rsidP="00D401BC">
      <w:pPr>
        <w:tabs>
          <w:tab w:val="left" w:pos="-1440"/>
        </w:tabs>
        <w:ind w:left="720" w:hanging="720"/>
        <w:rPr>
          <w:sz w:val="24"/>
        </w:rPr>
      </w:pPr>
    </w:p>
    <w:p w:rsidR="004D05D9" w:rsidRDefault="00D401BC" w:rsidP="00D401BC">
      <w:pPr>
        <w:tabs>
          <w:tab w:val="left" w:pos="-1440"/>
        </w:tabs>
        <w:ind w:left="360" w:hanging="360"/>
        <w:rPr>
          <w:sz w:val="24"/>
        </w:rPr>
      </w:pPr>
      <w:r>
        <w:rPr>
          <w:sz w:val="24"/>
          <w:u w:val="single"/>
        </w:rPr>
        <w:t>1</w:t>
      </w:r>
      <w:r>
        <w:rPr>
          <w:sz w:val="24"/>
        </w:rPr>
        <w:t>/ This is NOT a mandatory action code.  It is only recommended for your use in tracking appraisal shelf life.</w:t>
      </w:r>
      <w:r w:rsidR="004D05D9">
        <w:rPr>
          <w:sz w:val="24"/>
        </w:rPr>
        <w:br/>
      </w:r>
    </w:p>
    <w:p w:rsidR="00D401BC" w:rsidRPr="00B17607" w:rsidRDefault="00D401BC" w:rsidP="00D401BC">
      <w:pPr>
        <w:rPr>
          <w:sz w:val="24"/>
          <w:u w:val="single"/>
        </w:rPr>
      </w:pPr>
      <w:r>
        <w:rPr>
          <w:sz w:val="24"/>
          <w:u w:val="single"/>
        </w:rPr>
        <w:t>Private</w:t>
      </w:r>
      <w:r w:rsidRPr="00B17607">
        <w:rPr>
          <w:sz w:val="24"/>
          <w:u w:val="single"/>
        </w:rPr>
        <w:t xml:space="preserve"> Land SRP (OR 12345-</w:t>
      </w:r>
      <w:r>
        <w:rPr>
          <w:sz w:val="24"/>
          <w:u w:val="single"/>
        </w:rPr>
        <w:t>PT</w:t>
      </w:r>
      <w:r w:rsidRPr="00B17607">
        <w:rPr>
          <w:sz w:val="24"/>
          <w:u w:val="single"/>
        </w:rPr>
        <w:t xml:space="preserve">, </w:t>
      </w:r>
      <w:r>
        <w:rPr>
          <w:sz w:val="24"/>
          <w:u w:val="single"/>
        </w:rPr>
        <w:t>P</w:t>
      </w:r>
      <w:r w:rsidRPr="00B17607">
        <w:rPr>
          <w:sz w:val="24"/>
          <w:u w:val="single"/>
        </w:rPr>
        <w:t xml:space="preserve">1, </w:t>
      </w:r>
      <w:r>
        <w:rPr>
          <w:sz w:val="24"/>
          <w:u w:val="single"/>
        </w:rPr>
        <w:t>P</w:t>
      </w:r>
      <w:r w:rsidRPr="00B17607">
        <w:rPr>
          <w:sz w:val="24"/>
          <w:u w:val="single"/>
        </w:rPr>
        <w:t xml:space="preserve">2, </w:t>
      </w:r>
      <w:r>
        <w:rPr>
          <w:sz w:val="24"/>
          <w:u w:val="single"/>
        </w:rPr>
        <w:t>P</w:t>
      </w:r>
      <w:r w:rsidRPr="00B17607">
        <w:rPr>
          <w:sz w:val="24"/>
          <w:u w:val="single"/>
        </w:rPr>
        <w:t>3 . . .)</w:t>
      </w:r>
    </w:p>
    <w:p w:rsidR="00D401BC" w:rsidRDefault="00D401BC" w:rsidP="00D401BC">
      <w:pPr>
        <w:tabs>
          <w:tab w:val="left" w:pos="-1440"/>
        </w:tabs>
        <w:ind w:left="720" w:hanging="720"/>
        <w:rPr>
          <w:sz w:val="24"/>
        </w:rPr>
      </w:pPr>
    </w:p>
    <w:p w:rsidR="00D401BC" w:rsidRDefault="00D401BC" w:rsidP="00D401BC">
      <w:pPr>
        <w:tabs>
          <w:tab w:val="left" w:pos="-1440"/>
        </w:tabs>
        <w:ind w:left="720" w:hanging="720"/>
        <w:rPr>
          <w:sz w:val="24"/>
        </w:rPr>
      </w:pPr>
      <w:r>
        <w:rPr>
          <w:sz w:val="24"/>
        </w:rPr>
        <w:t>387</w:t>
      </w:r>
      <w:r>
        <w:rPr>
          <w:sz w:val="24"/>
        </w:rPr>
        <w:tab/>
        <w:t>Case Established</w:t>
      </w:r>
    </w:p>
    <w:p w:rsidR="00D401BC" w:rsidRDefault="00D401BC" w:rsidP="00D401BC">
      <w:pPr>
        <w:tabs>
          <w:tab w:val="left" w:pos="-1440"/>
        </w:tabs>
        <w:ind w:left="720" w:hanging="720"/>
        <w:rPr>
          <w:sz w:val="24"/>
        </w:rPr>
      </w:pPr>
      <w:r>
        <w:rPr>
          <w:sz w:val="24"/>
        </w:rPr>
        <w:t xml:space="preserve">500 </w:t>
      </w:r>
      <w:r>
        <w:rPr>
          <w:sz w:val="24"/>
        </w:rPr>
        <w:tab/>
        <w:t>Geographic Name</w:t>
      </w:r>
    </w:p>
    <w:p w:rsidR="00D401BC" w:rsidRDefault="00D401BC" w:rsidP="00D401BC">
      <w:pPr>
        <w:tabs>
          <w:tab w:val="left" w:pos="-1440"/>
        </w:tabs>
        <w:ind w:left="720" w:hanging="720"/>
        <w:rPr>
          <w:sz w:val="24"/>
        </w:rPr>
      </w:pPr>
      <w:r>
        <w:rPr>
          <w:sz w:val="24"/>
        </w:rPr>
        <w:t>095</w:t>
      </w:r>
      <w:r>
        <w:rPr>
          <w:sz w:val="24"/>
        </w:rPr>
        <w:tab/>
        <w:t>Funded with LWCF</w:t>
      </w:r>
    </w:p>
    <w:p w:rsidR="00D401BC" w:rsidRDefault="00D401BC" w:rsidP="00D401BC">
      <w:pPr>
        <w:tabs>
          <w:tab w:val="left" w:pos="-1440"/>
        </w:tabs>
        <w:ind w:left="720" w:hanging="720"/>
        <w:rPr>
          <w:sz w:val="24"/>
        </w:rPr>
      </w:pPr>
      <w:r>
        <w:rPr>
          <w:sz w:val="24"/>
        </w:rPr>
        <w:t>501</w:t>
      </w:r>
      <w:r>
        <w:rPr>
          <w:sz w:val="24"/>
        </w:rPr>
        <w:tab/>
        <w:t>Reference Number (enter project number)</w:t>
      </w:r>
    </w:p>
    <w:p w:rsidR="00D401BC" w:rsidRDefault="00D401BC" w:rsidP="00D401BC">
      <w:pPr>
        <w:tabs>
          <w:tab w:val="left" w:pos="-1440"/>
        </w:tabs>
        <w:ind w:left="720" w:hanging="720"/>
        <w:rPr>
          <w:sz w:val="24"/>
        </w:rPr>
      </w:pPr>
      <w:r>
        <w:rPr>
          <w:sz w:val="24"/>
        </w:rPr>
        <w:t>513</w:t>
      </w:r>
      <w:r>
        <w:rPr>
          <w:sz w:val="24"/>
        </w:rPr>
        <w:tab/>
        <w:t>Acres Accessible</w:t>
      </w:r>
    </w:p>
    <w:p w:rsidR="00D401BC" w:rsidRDefault="00D401BC" w:rsidP="00D401BC">
      <w:pPr>
        <w:tabs>
          <w:tab w:val="left" w:pos="-1440"/>
        </w:tabs>
        <w:ind w:left="720" w:hanging="720"/>
        <w:rPr>
          <w:sz w:val="24"/>
        </w:rPr>
      </w:pPr>
      <w:r>
        <w:rPr>
          <w:sz w:val="24"/>
        </w:rPr>
        <w:t>542</w:t>
      </w:r>
      <w:r>
        <w:rPr>
          <w:sz w:val="24"/>
        </w:rPr>
        <w:tab/>
        <w:t>Supplemental Use/Purpose</w:t>
      </w:r>
    </w:p>
    <w:p w:rsidR="00D401BC" w:rsidRDefault="00D401BC" w:rsidP="00D401BC">
      <w:pPr>
        <w:tabs>
          <w:tab w:val="left" w:pos="-1440"/>
        </w:tabs>
        <w:ind w:left="720" w:hanging="720"/>
        <w:rPr>
          <w:sz w:val="24"/>
        </w:rPr>
      </w:pPr>
      <w:r>
        <w:rPr>
          <w:sz w:val="24"/>
        </w:rPr>
        <w:t>133</w:t>
      </w:r>
      <w:r>
        <w:rPr>
          <w:sz w:val="24"/>
        </w:rPr>
        <w:tab/>
        <w:t>Appraisal Requested</w:t>
      </w:r>
    </w:p>
    <w:p w:rsidR="00D401BC" w:rsidRDefault="00D401BC" w:rsidP="00D401BC">
      <w:pPr>
        <w:tabs>
          <w:tab w:val="left" w:pos="-1440"/>
        </w:tabs>
        <w:ind w:left="720" w:hanging="720"/>
        <w:rPr>
          <w:sz w:val="24"/>
        </w:rPr>
      </w:pPr>
      <w:r>
        <w:rPr>
          <w:sz w:val="24"/>
        </w:rPr>
        <w:t>132</w:t>
      </w:r>
      <w:r>
        <w:rPr>
          <w:sz w:val="24"/>
        </w:rPr>
        <w:tab/>
        <w:t>Appraisal Approved (enter $ amount)</w:t>
      </w:r>
    </w:p>
    <w:p w:rsidR="00D401BC" w:rsidRPr="0023771C" w:rsidRDefault="00D401BC" w:rsidP="00D401BC">
      <w:pPr>
        <w:tabs>
          <w:tab w:val="left" w:pos="-1440"/>
        </w:tabs>
        <w:ind w:left="720" w:hanging="720"/>
        <w:rPr>
          <w:b/>
          <w:sz w:val="24"/>
        </w:rPr>
      </w:pPr>
      <w:r w:rsidRPr="0023771C">
        <w:rPr>
          <w:b/>
          <w:sz w:val="24"/>
          <w:shd w:val="clear" w:color="auto" w:fill="FFFF99"/>
        </w:rPr>
        <w:t>247</w:t>
      </w:r>
      <w:r w:rsidRPr="0023771C">
        <w:rPr>
          <w:b/>
          <w:sz w:val="24"/>
          <w:shd w:val="clear" w:color="auto" w:fill="FFFF99"/>
        </w:rPr>
        <w:tab/>
        <w:t>Future Action Suspense (appraisal validity period ends)</w:t>
      </w:r>
      <w:r>
        <w:rPr>
          <w:b/>
          <w:sz w:val="24"/>
          <w:shd w:val="clear" w:color="auto" w:fill="FFFF99"/>
        </w:rPr>
        <w:t xml:space="preserve"> </w:t>
      </w:r>
      <w:r>
        <w:rPr>
          <w:b/>
          <w:sz w:val="24"/>
          <w:u w:val="single"/>
          <w:shd w:val="clear" w:color="auto" w:fill="FFFF99"/>
        </w:rPr>
        <w:t>1</w:t>
      </w:r>
      <w:r>
        <w:rPr>
          <w:b/>
          <w:sz w:val="24"/>
          <w:shd w:val="clear" w:color="auto" w:fill="FFFF99"/>
        </w:rPr>
        <w:t>/</w:t>
      </w:r>
    </w:p>
    <w:p w:rsidR="00D401BC" w:rsidRDefault="00D401BC" w:rsidP="00D401BC">
      <w:pPr>
        <w:tabs>
          <w:tab w:val="left" w:pos="-1440"/>
        </w:tabs>
        <w:ind w:left="720" w:hanging="720"/>
        <w:rPr>
          <w:sz w:val="24"/>
        </w:rPr>
      </w:pPr>
      <w:r>
        <w:rPr>
          <w:sz w:val="24"/>
        </w:rPr>
        <w:t>859</w:t>
      </w:r>
      <w:r>
        <w:rPr>
          <w:sz w:val="24"/>
        </w:rPr>
        <w:tab/>
        <w:t>Payment Made (enter $ amount)</w:t>
      </w:r>
    </w:p>
    <w:p w:rsidR="00D401BC" w:rsidRDefault="00D401BC" w:rsidP="00D401BC">
      <w:pPr>
        <w:tabs>
          <w:tab w:val="left" w:pos="-1440"/>
        </w:tabs>
        <w:ind w:left="720" w:hanging="720"/>
        <w:rPr>
          <w:sz w:val="24"/>
        </w:rPr>
      </w:pPr>
      <w:r>
        <w:rPr>
          <w:sz w:val="24"/>
        </w:rPr>
        <w:t>068</w:t>
      </w:r>
      <w:r>
        <w:rPr>
          <w:sz w:val="24"/>
        </w:rPr>
        <w:tab/>
        <w:t>Contaminant Survey Approved</w:t>
      </w:r>
    </w:p>
    <w:p w:rsidR="00D401BC" w:rsidRDefault="00D401BC" w:rsidP="00D401BC">
      <w:pPr>
        <w:tabs>
          <w:tab w:val="left" w:pos="-1440"/>
        </w:tabs>
        <w:ind w:left="720" w:hanging="720"/>
        <w:rPr>
          <w:sz w:val="24"/>
        </w:rPr>
      </w:pPr>
      <w:r>
        <w:rPr>
          <w:sz w:val="24"/>
        </w:rPr>
        <w:t>404</w:t>
      </w:r>
      <w:r>
        <w:rPr>
          <w:sz w:val="24"/>
        </w:rPr>
        <w:tab/>
        <w:t>Title Recordation (enter volume, book etc.)</w:t>
      </w:r>
    </w:p>
    <w:p w:rsidR="00D401BC" w:rsidRDefault="00D401BC" w:rsidP="00D401BC">
      <w:pPr>
        <w:tabs>
          <w:tab w:val="left" w:pos="-1440"/>
        </w:tabs>
        <w:ind w:left="720" w:hanging="720"/>
        <w:rPr>
          <w:sz w:val="24"/>
        </w:rPr>
      </w:pPr>
      <w:r>
        <w:rPr>
          <w:sz w:val="24"/>
        </w:rPr>
        <w:t>865</w:t>
      </w:r>
      <w:r>
        <w:rPr>
          <w:sz w:val="24"/>
        </w:rPr>
        <w:tab/>
        <w:t xml:space="preserve">Title Accepted by </w:t>
      </w:r>
      <w:smartTag w:uri="urn:schemas-microsoft-com:office:smarttags" w:element="place">
        <w:smartTag w:uri="urn:schemas-microsoft-com:office:smarttags" w:element="country-region">
          <w:r>
            <w:rPr>
              <w:sz w:val="24"/>
            </w:rPr>
            <w:t>U.S.</w:t>
          </w:r>
        </w:smartTag>
      </w:smartTag>
    </w:p>
    <w:p w:rsidR="00D401BC" w:rsidRDefault="00D401BC" w:rsidP="00D401BC">
      <w:pPr>
        <w:tabs>
          <w:tab w:val="left" w:pos="-1440"/>
        </w:tabs>
        <w:ind w:left="720" w:hanging="720"/>
        <w:rPr>
          <w:sz w:val="24"/>
        </w:rPr>
      </w:pPr>
      <w:r>
        <w:rPr>
          <w:sz w:val="24"/>
        </w:rPr>
        <w:t>400</w:t>
      </w:r>
      <w:r>
        <w:rPr>
          <w:sz w:val="24"/>
        </w:rPr>
        <w:tab/>
        <w:t>US Rights Acquired (enter rights acquired)</w:t>
      </w:r>
    </w:p>
    <w:p w:rsidR="00D401BC" w:rsidRDefault="00D401BC" w:rsidP="00D401BC">
      <w:pPr>
        <w:tabs>
          <w:tab w:val="left" w:pos="-1440"/>
        </w:tabs>
        <w:ind w:left="720" w:hanging="720"/>
        <w:rPr>
          <w:sz w:val="24"/>
        </w:rPr>
      </w:pPr>
      <w:r>
        <w:rPr>
          <w:sz w:val="24"/>
        </w:rPr>
        <w:t>610</w:t>
      </w:r>
      <w:r>
        <w:rPr>
          <w:sz w:val="24"/>
        </w:rPr>
        <w:tab/>
        <w:t xml:space="preserve">Published </w:t>
      </w:r>
    </w:p>
    <w:p w:rsidR="00D401BC" w:rsidRDefault="00D401BC" w:rsidP="00D401BC">
      <w:pPr>
        <w:tabs>
          <w:tab w:val="left" w:pos="-1440"/>
        </w:tabs>
        <w:ind w:left="720" w:hanging="720"/>
        <w:rPr>
          <w:sz w:val="24"/>
        </w:rPr>
      </w:pPr>
      <w:r>
        <w:rPr>
          <w:sz w:val="24"/>
        </w:rPr>
        <w:t>873</w:t>
      </w:r>
      <w:r>
        <w:rPr>
          <w:sz w:val="24"/>
        </w:rPr>
        <w:tab/>
        <w:t>Open to Entry</w:t>
      </w:r>
    </w:p>
    <w:p w:rsidR="00D401BC" w:rsidRDefault="00D401BC" w:rsidP="00D401BC">
      <w:pPr>
        <w:tabs>
          <w:tab w:val="left" w:pos="-1440"/>
        </w:tabs>
        <w:ind w:left="720" w:hanging="720"/>
        <w:rPr>
          <w:sz w:val="24"/>
        </w:rPr>
      </w:pPr>
      <w:r>
        <w:rPr>
          <w:sz w:val="24"/>
        </w:rPr>
        <w:t>968</w:t>
      </w:r>
      <w:r>
        <w:rPr>
          <w:sz w:val="24"/>
        </w:rPr>
        <w:tab/>
        <w:t>Case Action Completed</w:t>
      </w:r>
    </w:p>
    <w:p w:rsidR="00D401BC" w:rsidRDefault="00D401BC" w:rsidP="00D401BC">
      <w:pPr>
        <w:tabs>
          <w:tab w:val="left" w:pos="-1440"/>
        </w:tabs>
        <w:ind w:left="720" w:hanging="720"/>
        <w:rPr>
          <w:sz w:val="24"/>
        </w:rPr>
      </w:pPr>
    </w:p>
    <w:p w:rsidR="00D401BC" w:rsidRPr="0023771C" w:rsidRDefault="00D401BC" w:rsidP="00D401BC">
      <w:pPr>
        <w:tabs>
          <w:tab w:val="left" w:pos="-1440"/>
        </w:tabs>
        <w:ind w:left="360" w:hanging="360"/>
        <w:rPr>
          <w:sz w:val="24"/>
        </w:rPr>
      </w:pPr>
      <w:r>
        <w:rPr>
          <w:sz w:val="24"/>
          <w:u w:val="single"/>
        </w:rPr>
        <w:t>1</w:t>
      </w:r>
      <w:r>
        <w:rPr>
          <w:sz w:val="24"/>
        </w:rPr>
        <w:t>/ This is NOT a mandatory action code.  It is only suggested for your use in tracking appraisal shelf life.</w:t>
      </w:r>
    </w:p>
    <w:p w:rsidR="00D401BC" w:rsidRDefault="00D401BC" w:rsidP="00D401BC">
      <w:pPr>
        <w:tabs>
          <w:tab w:val="left" w:pos="-1440"/>
        </w:tabs>
        <w:ind w:left="720" w:hanging="720"/>
        <w:rPr>
          <w:sz w:val="24"/>
        </w:rPr>
      </w:pPr>
    </w:p>
    <w:p w:rsidR="005F7CAA" w:rsidRDefault="005F7CAA"/>
    <w:sectPr w:rsidR="005F7CAA" w:rsidSect="00D43CFB">
      <w:headerReference w:type="default" r:id="rId9"/>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B2C" w:rsidRDefault="000F3B2C" w:rsidP="00D43CFB">
      <w:pPr>
        <w:spacing w:line="240" w:lineRule="auto"/>
      </w:pPr>
      <w:r>
        <w:separator/>
      </w:r>
    </w:p>
  </w:endnote>
  <w:endnote w:type="continuationSeparator" w:id="0">
    <w:p w:rsidR="000F3B2C" w:rsidRDefault="000F3B2C" w:rsidP="00D43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91175"/>
      <w:docPartObj>
        <w:docPartGallery w:val="Page Numbers (Bottom of Page)"/>
        <w:docPartUnique/>
      </w:docPartObj>
    </w:sdtPr>
    <w:sdtEndPr/>
    <w:sdtContent>
      <w:sdt>
        <w:sdtPr>
          <w:id w:val="565050477"/>
          <w:docPartObj>
            <w:docPartGallery w:val="Page Numbers (Top of Page)"/>
            <w:docPartUnique/>
          </w:docPartObj>
        </w:sdtPr>
        <w:sdtEndPr/>
        <w:sdtContent>
          <w:p w:rsidR="00D43CFB" w:rsidRDefault="00D43CFB">
            <w:pPr>
              <w:pStyle w:val="Footer"/>
              <w:jc w:val="center"/>
            </w:pPr>
            <w:r w:rsidRPr="00D43CFB">
              <w:rPr>
                <w:sz w:val="16"/>
                <w:szCs w:val="16"/>
              </w:rPr>
              <w:t xml:space="preserve">Page </w:t>
            </w:r>
            <w:r w:rsidR="00BD4D59" w:rsidRPr="00D43CFB">
              <w:rPr>
                <w:b/>
                <w:sz w:val="16"/>
                <w:szCs w:val="16"/>
              </w:rPr>
              <w:fldChar w:fldCharType="begin"/>
            </w:r>
            <w:r w:rsidRPr="00D43CFB">
              <w:rPr>
                <w:b/>
                <w:sz w:val="16"/>
                <w:szCs w:val="16"/>
              </w:rPr>
              <w:instrText xml:space="preserve"> PAGE </w:instrText>
            </w:r>
            <w:r w:rsidR="00BD4D59" w:rsidRPr="00D43CFB">
              <w:rPr>
                <w:b/>
                <w:sz w:val="16"/>
                <w:szCs w:val="16"/>
              </w:rPr>
              <w:fldChar w:fldCharType="separate"/>
            </w:r>
            <w:r w:rsidR="00A9608F">
              <w:rPr>
                <w:b/>
                <w:noProof/>
                <w:sz w:val="16"/>
                <w:szCs w:val="16"/>
              </w:rPr>
              <w:t>1</w:t>
            </w:r>
            <w:r w:rsidR="00BD4D59" w:rsidRPr="00D43CFB">
              <w:rPr>
                <w:b/>
                <w:sz w:val="16"/>
                <w:szCs w:val="16"/>
              </w:rPr>
              <w:fldChar w:fldCharType="end"/>
            </w:r>
            <w:r w:rsidRPr="00D43CFB">
              <w:rPr>
                <w:sz w:val="16"/>
                <w:szCs w:val="16"/>
              </w:rPr>
              <w:t xml:space="preserve"> of </w:t>
            </w:r>
            <w:r w:rsidR="00BD4D59" w:rsidRPr="00D43CFB">
              <w:rPr>
                <w:b/>
                <w:sz w:val="16"/>
                <w:szCs w:val="16"/>
              </w:rPr>
              <w:fldChar w:fldCharType="begin"/>
            </w:r>
            <w:r w:rsidRPr="00D43CFB">
              <w:rPr>
                <w:b/>
                <w:sz w:val="16"/>
                <w:szCs w:val="16"/>
              </w:rPr>
              <w:instrText xml:space="preserve"> NUMPAGES  </w:instrText>
            </w:r>
            <w:r w:rsidR="00BD4D59" w:rsidRPr="00D43CFB">
              <w:rPr>
                <w:b/>
                <w:sz w:val="16"/>
                <w:szCs w:val="16"/>
              </w:rPr>
              <w:fldChar w:fldCharType="separate"/>
            </w:r>
            <w:r w:rsidR="00A9608F">
              <w:rPr>
                <w:b/>
                <w:noProof/>
                <w:sz w:val="16"/>
                <w:szCs w:val="16"/>
              </w:rPr>
              <w:t>6</w:t>
            </w:r>
            <w:r w:rsidR="00BD4D59" w:rsidRPr="00D43CFB">
              <w:rPr>
                <w:b/>
                <w:sz w:val="16"/>
                <w:szCs w:val="16"/>
              </w:rPr>
              <w:fldChar w:fldCharType="end"/>
            </w:r>
          </w:p>
        </w:sdtContent>
      </w:sdt>
    </w:sdtContent>
  </w:sdt>
  <w:p w:rsidR="00D43CFB" w:rsidRDefault="00D4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B2C" w:rsidRDefault="000F3B2C" w:rsidP="00D43CFB">
      <w:pPr>
        <w:spacing w:line="240" w:lineRule="auto"/>
      </w:pPr>
      <w:r>
        <w:separator/>
      </w:r>
    </w:p>
  </w:footnote>
  <w:footnote w:type="continuationSeparator" w:id="0">
    <w:p w:rsidR="000F3B2C" w:rsidRDefault="000F3B2C" w:rsidP="00D43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FB" w:rsidRPr="00D43CFB" w:rsidRDefault="00971893">
    <w:pPr>
      <w:pStyle w:val="Header"/>
      <w:rPr>
        <w:sz w:val="16"/>
        <w:szCs w:val="16"/>
      </w:rPr>
    </w:pPr>
    <w:r>
      <w:rPr>
        <w:sz w:val="16"/>
        <w:szCs w:val="16"/>
      </w:rPr>
      <w:t>(Revised 06/23/2011)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5AA"/>
    <w:multiLevelType w:val="hybridMultilevel"/>
    <w:tmpl w:val="50E4C294"/>
    <w:lvl w:ilvl="0" w:tplc="BF76A9A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EF4"/>
    <w:multiLevelType w:val="hybridMultilevel"/>
    <w:tmpl w:val="8362B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D630C"/>
    <w:multiLevelType w:val="hybridMultilevel"/>
    <w:tmpl w:val="17F457AC"/>
    <w:lvl w:ilvl="0" w:tplc="BF76A9A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B6400"/>
    <w:multiLevelType w:val="hybridMultilevel"/>
    <w:tmpl w:val="66507324"/>
    <w:lvl w:ilvl="0" w:tplc="BF76A9A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45D1F"/>
    <w:multiLevelType w:val="hybridMultilevel"/>
    <w:tmpl w:val="75C8D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13CA2"/>
    <w:multiLevelType w:val="hybridMultilevel"/>
    <w:tmpl w:val="4F3626B6"/>
    <w:lvl w:ilvl="0" w:tplc="62BAF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876E0"/>
    <w:multiLevelType w:val="hybridMultilevel"/>
    <w:tmpl w:val="1E1C9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334A2"/>
    <w:multiLevelType w:val="hybridMultilevel"/>
    <w:tmpl w:val="CED41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D2F2B"/>
    <w:multiLevelType w:val="hybridMultilevel"/>
    <w:tmpl w:val="88E66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222ED"/>
    <w:multiLevelType w:val="hybridMultilevel"/>
    <w:tmpl w:val="4D50816A"/>
    <w:lvl w:ilvl="0" w:tplc="BF76A9AA">
      <w:start w:val="1"/>
      <w:numFmt w:val="bullet"/>
      <w:lvlText w:val=""/>
      <w:lvlJc w:val="left"/>
      <w:pPr>
        <w:ind w:left="792" w:hanging="360"/>
      </w:pPr>
      <w:rPr>
        <w:rFonts w:ascii="Wingdings 2" w:hAnsi="Wingdings 2"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7AE57E70"/>
    <w:multiLevelType w:val="hybridMultilevel"/>
    <w:tmpl w:val="DEAAD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3"/>
  </w:num>
  <w:num w:numId="5">
    <w:abstractNumId w:val="1"/>
  </w:num>
  <w:num w:numId="6">
    <w:abstractNumId w:val="10"/>
  </w:num>
  <w:num w:numId="7">
    <w:abstractNumId w:val="7"/>
  </w:num>
  <w:num w:numId="8">
    <w:abstractNumId w:val="6"/>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7CAA"/>
    <w:rsid w:val="000F3B2C"/>
    <w:rsid w:val="0013572B"/>
    <w:rsid w:val="00146F65"/>
    <w:rsid w:val="001A167D"/>
    <w:rsid w:val="001D748F"/>
    <w:rsid w:val="001F7A50"/>
    <w:rsid w:val="002142AA"/>
    <w:rsid w:val="0022731F"/>
    <w:rsid w:val="002320E8"/>
    <w:rsid w:val="0027125D"/>
    <w:rsid w:val="0029740E"/>
    <w:rsid w:val="0035369E"/>
    <w:rsid w:val="00375A22"/>
    <w:rsid w:val="0039520C"/>
    <w:rsid w:val="003D09BE"/>
    <w:rsid w:val="00453BFF"/>
    <w:rsid w:val="0048631E"/>
    <w:rsid w:val="004B7AB0"/>
    <w:rsid w:val="004D05D9"/>
    <w:rsid w:val="004F5E96"/>
    <w:rsid w:val="0054695A"/>
    <w:rsid w:val="005F7CAA"/>
    <w:rsid w:val="006B265F"/>
    <w:rsid w:val="006C058F"/>
    <w:rsid w:val="006E0135"/>
    <w:rsid w:val="00774AD0"/>
    <w:rsid w:val="0078136C"/>
    <w:rsid w:val="00865D34"/>
    <w:rsid w:val="009265CA"/>
    <w:rsid w:val="009548B0"/>
    <w:rsid w:val="009571B3"/>
    <w:rsid w:val="0095735E"/>
    <w:rsid w:val="00971893"/>
    <w:rsid w:val="00972206"/>
    <w:rsid w:val="00980536"/>
    <w:rsid w:val="00A9608F"/>
    <w:rsid w:val="00AA6AFB"/>
    <w:rsid w:val="00AB1635"/>
    <w:rsid w:val="00B02FD2"/>
    <w:rsid w:val="00B116C6"/>
    <w:rsid w:val="00B62441"/>
    <w:rsid w:val="00B63602"/>
    <w:rsid w:val="00B870D7"/>
    <w:rsid w:val="00BA7FE7"/>
    <w:rsid w:val="00BD0B5C"/>
    <w:rsid w:val="00BD4D59"/>
    <w:rsid w:val="00BF46B4"/>
    <w:rsid w:val="00C10215"/>
    <w:rsid w:val="00C65CE2"/>
    <w:rsid w:val="00CA2D4B"/>
    <w:rsid w:val="00D058B3"/>
    <w:rsid w:val="00D073F8"/>
    <w:rsid w:val="00D401BC"/>
    <w:rsid w:val="00D42864"/>
    <w:rsid w:val="00D43CFB"/>
    <w:rsid w:val="00D6723A"/>
    <w:rsid w:val="00DF3BAF"/>
    <w:rsid w:val="00E52949"/>
    <w:rsid w:val="00ED77F2"/>
    <w:rsid w:val="00F55952"/>
    <w:rsid w:val="00F8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4C817A"/>
  <w15:docId w15:val="{5D4D01FC-C5D6-42AB-8341-CF6D5864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C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CAA"/>
    <w:pPr>
      <w:ind w:left="720"/>
      <w:contextualSpacing/>
    </w:pPr>
  </w:style>
  <w:style w:type="character" w:styleId="Hyperlink">
    <w:name w:val="Hyperlink"/>
    <w:basedOn w:val="DefaultParagraphFont"/>
    <w:uiPriority w:val="99"/>
    <w:unhideWhenUsed/>
    <w:rsid w:val="0029740E"/>
    <w:rPr>
      <w:color w:val="0000FF" w:themeColor="hyperlink"/>
      <w:u w:val="single"/>
    </w:rPr>
  </w:style>
  <w:style w:type="paragraph" w:styleId="Header">
    <w:name w:val="header"/>
    <w:basedOn w:val="Normal"/>
    <w:link w:val="HeaderChar"/>
    <w:uiPriority w:val="99"/>
    <w:semiHidden/>
    <w:unhideWhenUsed/>
    <w:rsid w:val="00D43CF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43CFB"/>
  </w:style>
  <w:style w:type="paragraph" w:styleId="Footer">
    <w:name w:val="footer"/>
    <w:basedOn w:val="Normal"/>
    <w:link w:val="FooterChar"/>
    <w:uiPriority w:val="99"/>
    <w:unhideWhenUsed/>
    <w:rsid w:val="00D43CFB"/>
    <w:pPr>
      <w:tabs>
        <w:tab w:val="center" w:pos="4680"/>
        <w:tab w:val="right" w:pos="9360"/>
      </w:tabs>
      <w:spacing w:line="240" w:lineRule="auto"/>
    </w:pPr>
  </w:style>
  <w:style w:type="character" w:customStyle="1" w:styleId="FooterChar">
    <w:name w:val="Footer Char"/>
    <w:basedOn w:val="DefaultParagraphFont"/>
    <w:link w:val="Footer"/>
    <w:uiPriority w:val="99"/>
    <w:rsid w:val="00D43CFB"/>
  </w:style>
  <w:style w:type="paragraph" w:styleId="BalloonText">
    <w:name w:val="Balloon Text"/>
    <w:basedOn w:val="Normal"/>
    <w:link w:val="BalloonTextChar"/>
    <w:uiPriority w:val="99"/>
    <w:semiHidden/>
    <w:unhideWhenUsed/>
    <w:rsid w:val="00BF46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ivis.secure.force.com" TargetMode="External"/><Relationship Id="rId3" Type="http://schemas.openxmlformats.org/officeDocument/2006/relationships/settings" Target="settings.xml"/><Relationship Id="rId7" Type="http://schemas.openxmlformats.org/officeDocument/2006/relationships/hyperlink" Target="http://www.doi.gov/o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dokholm</dc:creator>
  <cp:keywords/>
  <dc:description/>
  <cp:lastModifiedBy>ilmntcctrn74</cp:lastModifiedBy>
  <cp:revision>6</cp:revision>
  <cp:lastPrinted>2011-06-23T15:31:00Z</cp:lastPrinted>
  <dcterms:created xsi:type="dcterms:W3CDTF">2011-06-23T15:31:00Z</dcterms:created>
  <dcterms:modified xsi:type="dcterms:W3CDTF">2017-06-16T22:25:00Z</dcterms:modified>
</cp:coreProperties>
</file>