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D8" w:rsidRPr="004F74D8" w:rsidRDefault="004F74D8" w:rsidP="004F74D8">
      <w:pPr>
        <w:contextualSpacing/>
        <w:jc w:val="center"/>
        <w:rPr>
          <w:b/>
        </w:rPr>
      </w:pPr>
      <w:r>
        <w:rPr>
          <w:b/>
        </w:rPr>
        <w:t>STANDARDIZED PARAGRAPHS FOR WITHDRAWAL DOCUMENTS</w:t>
      </w:r>
    </w:p>
    <w:p w:rsidR="004F74D8" w:rsidRDefault="004F74D8" w:rsidP="00033C3E">
      <w:pPr>
        <w:contextualSpacing/>
        <w:rPr>
          <w:b/>
          <w:color w:val="0000FF"/>
        </w:rPr>
      </w:pPr>
    </w:p>
    <w:p w:rsidR="00033C3E" w:rsidRPr="00033C3E" w:rsidRDefault="00033C3E" w:rsidP="00033C3E">
      <w:pPr>
        <w:contextualSpacing/>
        <w:rPr>
          <w:b/>
          <w:color w:val="0000FF"/>
        </w:rPr>
      </w:pPr>
      <w:r w:rsidRPr="00033C3E">
        <w:rPr>
          <w:b/>
          <w:color w:val="0000FF"/>
        </w:rPr>
        <w:t>TXT for disability access:</w:t>
      </w:r>
    </w:p>
    <w:p w:rsidR="00033C3E" w:rsidRDefault="00033C3E" w:rsidP="00033C3E">
      <w:pPr>
        <w:contextualSpacing/>
      </w:pPr>
      <w:r>
        <w:t>(Single)</w:t>
      </w:r>
    </w:p>
    <w:p w:rsidR="00033C3E" w:rsidRDefault="00033C3E" w:rsidP="00033C3E">
      <w:pPr>
        <w:contextualSpacing/>
      </w:pPr>
    </w:p>
    <w:p w:rsidR="00033C3E" w:rsidRDefault="00033C3E" w:rsidP="00033C3E">
      <w:pPr>
        <w:contextualSpacing/>
      </w:pPr>
      <w:r>
        <w:t>Persons who use a telecommunications device for the deaf (TDD) may call the Federal Information Relay Service (FIRS) at 1-800-877-8339 to reach the BLM contact person.  The FIRS is available 24 hours a day, 7 days a week, to leave a message or question with the above individual.  You will receive a reply during normal business hours.</w:t>
      </w:r>
    </w:p>
    <w:p w:rsidR="00033C3E" w:rsidRDefault="00033C3E" w:rsidP="00033C3E">
      <w:pPr>
        <w:contextualSpacing/>
      </w:pPr>
    </w:p>
    <w:p w:rsidR="00033C3E" w:rsidRDefault="00033C3E" w:rsidP="00033C3E">
      <w:pPr>
        <w:contextualSpacing/>
      </w:pPr>
      <w:r>
        <w:t>(Plural)</w:t>
      </w:r>
    </w:p>
    <w:p w:rsidR="00033C3E" w:rsidRDefault="00033C3E" w:rsidP="00033C3E">
      <w:pPr>
        <w:contextualSpacing/>
      </w:pPr>
    </w:p>
    <w:p w:rsidR="00033C3E" w:rsidRDefault="00033C3E" w:rsidP="00033C3E">
      <w:pPr>
        <w:contextualSpacing/>
      </w:pPr>
      <w:r>
        <w:t>Persons who use a telecommunications device for the deaf (TDD) may call the Federal Information Relay Service (FIRS) at 1 800-877-8339 to contact either of the above individuals.  The FIRS is available 24 hours a day, 7-days a week, to leave a message or question with either of the above individuals.  You will receive a reply during normal business hours.</w:t>
      </w:r>
    </w:p>
    <w:p w:rsidR="00033C3E" w:rsidRDefault="00033C3E">
      <w:pPr>
        <w:contextualSpacing/>
      </w:pPr>
    </w:p>
    <w:p w:rsidR="006B775E" w:rsidRPr="00033C3E" w:rsidRDefault="00C97F1E">
      <w:pPr>
        <w:contextualSpacing/>
        <w:rPr>
          <w:b/>
          <w:color w:val="0000FF"/>
        </w:rPr>
      </w:pPr>
      <w:r w:rsidRPr="00033C3E">
        <w:rPr>
          <w:b/>
          <w:color w:val="0000FF"/>
        </w:rPr>
        <w:t>Standard NEPA Paragraphs for the Asst. Sec. Memo</w:t>
      </w:r>
      <w:r w:rsidR="00FB74D7">
        <w:rPr>
          <w:b/>
          <w:color w:val="0000FF"/>
        </w:rPr>
        <w:t xml:space="preserve"> or Briefing Papers</w:t>
      </w:r>
      <w:bookmarkStart w:id="0" w:name="_GoBack"/>
      <w:bookmarkEnd w:id="0"/>
      <w:r w:rsidRPr="00033C3E">
        <w:rPr>
          <w:b/>
          <w:color w:val="0000FF"/>
        </w:rPr>
        <w:t>:</w:t>
      </w:r>
    </w:p>
    <w:p w:rsidR="00C97F1E" w:rsidRDefault="00C97F1E">
      <w:pPr>
        <w:contextualSpacing/>
      </w:pPr>
    </w:p>
    <w:p w:rsidR="00C97F1E" w:rsidRDefault="00C97F1E">
      <w:pPr>
        <w:contextualSpacing/>
        <w:rPr>
          <w:b/>
          <w:color w:val="0000FF"/>
        </w:rPr>
      </w:pPr>
      <w:r w:rsidRPr="00FE6D64">
        <w:rPr>
          <w:b/>
          <w:color w:val="0000FF"/>
        </w:rPr>
        <w:t>For a C</w:t>
      </w:r>
      <w:r w:rsidR="00117306" w:rsidRPr="00FE6D64">
        <w:rPr>
          <w:b/>
          <w:color w:val="0000FF"/>
        </w:rPr>
        <w:t>ategorical Exclusion</w:t>
      </w:r>
      <w:r w:rsidRPr="00FE6D64">
        <w:rPr>
          <w:b/>
          <w:color w:val="0000FF"/>
        </w:rPr>
        <w:t xml:space="preserve"> use:</w:t>
      </w:r>
    </w:p>
    <w:p w:rsidR="00BA5DA2" w:rsidRPr="00FE6D64" w:rsidRDefault="00BA5DA2">
      <w:pPr>
        <w:contextualSpacing/>
        <w:rPr>
          <w:b/>
          <w:color w:val="0000FF"/>
        </w:rPr>
      </w:pPr>
    </w:p>
    <w:p w:rsidR="008B4B04" w:rsidRDefault="009D2312" w:rsidP="008B4B04">
      <w:pPr>
        <w:contextualSpacing/>
        <w:rPr>
          <w:bCs/>
        </w:rPr>
      </w:pPr>
      <w:r w:rsidRPr="009D2312">
        <w:rPr>
          <w:bCs/>
        </w:rPr>
        <w:t>This action is covered by one of the Bureau of Land Management (BLM) categorical exclusions (CX), developed pursuant to the National Environmental Policy Act.  The BLM has screened the proposed action against the Department of the Interior exceptions to the use of CX and determined that none of the exceptions apply.  Therefore, neither an environmental impact statement nor an environmental assessment is necessary.  We recommend your approval.</w:t>
      </w:r>
    </w:p>
    <w:p w:rsidR="00310072" w:rsidRDefault="00310072" w:rsidP="008B4B04">
      <w:pPr>
        <w:contextualSpacing/>
        <w:rPr>
          <w:bCs/>
        </w:rPr>
      </w:pPr>
    </w:p>
    <w:p w:rsidR="00310072" w:rsidRPr="00310072" w:rsidRDefault="00310072" w:rsidP="008B4B04">
      <w:pPr>
        <w:contextualSpacing/>
        <w:rPr>
          <w:b/>
          <w:bCs/>
          <w:color w:val="0000FF"/>
        </w:rPr>
      </w:pPr>
      <w:r w:rsidRPr="00310072">
        <w:rPr>
          <w:b/>
          <w:bCs/>
          <w:color w:val="0000FF"/>
        </w:rPr>
        <w:t>For FR Briefing Papers under #</w:t>
      </w:r>
      <w:r>
        <w:rPr>
          <w:b/>
          <w:bCs/>
          <w:color w:val="0000FF"/>
        </w:rPr>
        <w:t>10:</w:t>
      </w:r>
    </w:p>
    <w:p w:rsidR="00310072" w:rsidRDefault="00310072" w:rsidP="008B4B04">
      <w:pPr>
        <w:contextualSpacing/>
        <w:rPr>
          <w:bCs/>
        </w:rPr>
      </w:pPr>
    </w:p>
    <w:p w:rsidR="00310072" w:rsidRPr="008B4B04" w:rsidRDefault="00310072" w:rsidP="008B4B04">
      <w:pPr>
        <w:contextualSpacing/>
        <w:rPr>
          <w:bCs/>
        </w:rPr>
      </w:pPr>
      <w:r w:rsidRPr="00310072">
        <w:rPr>
          <w:bCs/>
        </w:rPr>
        <w:t xml:space="preserve">Withdrawal extensions or modifications, which only establish a new time period and entail no changes in </w:t>
      </w:r>
      <w:proofErr w:type="spellStart"/>
      <w:r w:rsidRPr="00310072">
        <w:rPr>
          <w:bCs/>
        </w:rPr>
        <w:t>segregative</w:t>
      </w:r>
      <w:proofErr w:type="spellEnd"/>
      <w:r w:rsidRPr="00310072">
        <w:rPr>
          <w:bCs/>
        </w:rPr>
        <w:t xml:space="preserve"> effect or </w:t>
      </w:r>
      <w:proofErr w:type="gramStart"/>
      <w:r w:rsidRPr="00310072">
        <w:rPr>
          <w:bCs/>
        </w:rPr>
        <w:t>use</w:t>
      </w:r>
      <w:proofErr w:type="gramEnd"/>
      <w:r w:rsidRPr="00310072">
        <w:rPr>
          <w:bCs/>
        </w:rPr>
        <w:t xml:space="preserve"> are categorically excluded under </w:t>
      </w:r>
      <w:r w:rsidR="00FB74D7">
        <w:rPr>
          <w:bCs/>
        </w:rPr>
        <w:t xml:space="preserve">the </w:t>
      </w:r>
      <w:r w:rsidRPr="00310072">
        <w:rPr>
          <w:bCs/>
        </w:rPr>
        <w:t>BLM’s NEPA procedures found at 516 DM 11, and here, no extraordinary circumstances are found.</w:t>
      </w:r>
    </w:p>
    <w:p w:rsidR="00631944" w:rsidRPr="00631944" w:rsidRDefault="00631944" w:rsidP="00631944">
      <w:pPr>
        <w:contextualSpacing/>
      </w:pPr>
    </w:p>
    <w:p w:rsidR="00C97F1E" w:rsidRDefault="00C97F1E">
      <w:pPr>
        <w:contextualSpacing/>
        <w:rPr>
          <w:b/>
          <w:color w:val="0000FF"/>
        </w:rPr>
      </w:pPr>
      <w:r w:rsidRPr="00FE6D64">
        <w:rPr>
          <w:b/>
          <w:color w:val="0000FF"/>
        </w:rPr>
        <w:t>For an E</w:t>
      </w:r>
      <w:r w:rsidR="00117306" w:rsidRPr="00FE6D64">
        <w:rPr>
          <w:b/>
          <w:color w:val="0000FF"/>
        </w:rPr>
        <w:t>nvironmental Assessment</w:t>
      </w:r>
      <w:r w:rsidRPr="00FE6D64">
        <w:rPr>
          <w:b/>
          <w:color w:val="0000FF"/>
        </w:rPr>
        <w:t xml:space="preserve"> use:</w:t>
      </w:r>
    </w:p>
    <w:p w:rsidR="00BA5DA2" w:rsidRPr="00FE6D64" w:rsidRDefault="00BA5DA2">
      <w:pPr>
        <w:contextualSpacing/>
        <w:rPr>
          <w:b/>
          <w:color w:val="0000FF"/>
        </w:rPr>
      </w:pPr>
    </w:p>
    <w:p w:rsidR="00C97F1E" w:rsidRPr="00034E74" w:rsidRDefault="00C97F1E" w:rsidP="00C97F1E">
      <w:pPr>
        <w:tabs>
          <w:tab w:val="left" w:pos="1080"/>
        </w:tabs>
        <w:contextualSpacing/>
      </w:pPr>
      <w:r>
        <w:t>An environmental assessment determined t</w:t>
      </w:r>
      <w:r w:rsidRPr="00034E74">
        <w:t xml:space="preserve">his action would </w:t>
      </w:r>
      <w:r w:rsidR="00B4519E">
        <w:t xml:space="preserve">not </w:t>
      </w:r>
      <w:r w:rsidRPr="00034E74">
        <w:t xml:space="preserve">have </w:t>
      </w:r>
      <w:r w:rsidR="00B4519E">
        <w:t>a</w:t>
      </w:r>
      <w:r w:rsidRPr="00034E74">
        <w:t xml:space="preserve"> significant impact on the quality of the human environment, and a detailed state</w:t>
      </w:r>
      <w:r w:rsidR="00D15571">
        <w:t>ment pursuant to Section 102(2</w:t>
      </w:r>
      <w:proofErr w:type="gramStart"/>
      <w:r w:rsidR="00D15571">
        <w:t>)</w:t>
      </w:r>
      <w:r w:rsidRPr="00034E74">
        <w:t>(</w:t>
      </w:r>
      <w:proofErr w:type="gramEnd"/>
      <w:r w:rsidRPr="00034E74">
        <w:t xml:space="preserve">C) of the National Environmental Policy Act of 1969 </w:t>
      </w:r>
      <w:r>
        <w:t xml:space="preserve">is not required.  </w:t>
      </w:r>
      <w:r w:rsidR="000338D5">
        <w:t xml:space="preserve">We </w:t>
      </w:r>
      <w:r w:rsidRPr="00034E74">
        <w:t>recommend</w:t>
      </w:r>
      <w:r w:rsidR="000338D5">
        <w:t xml:space="preserve"> </w:t>
      </w:r>
      <w:r w:rsidR="000338D5" w:rsidRPr="000338D5">
        <w:t xml:space="preserve">your </w:t>
      </w:r>
      <w:r w:rsidR="000338D5">
        <w:t>approval</w:t>
      </w:r>
      <w:r w:rsidRPr="00034E74">
        <w:t>.</w:t>
      </w:r>
    </w:p>
    <w:p w:rsidR="00C97F1E" w:rsidRDefault="00C97F1E">
      <w:pPr>
        <w:contextualSpacing/>
      </w:pPr>
    </w:p>
    <w:p w:rsidR="007900B4" w:rsidRDefault="007900B4">
      <w:pPr>
        <w:contextualSpacing/>
        <w:rPr>
          <w:b/>
          <w:color w:val="0000FF"/>
        </w:rPr>
      </w:pPr>
      <w:r w:rsidRPr="00FE6D64">
        <w:rPr>
          <w:b/>
          <w:color w:val="0000FF"/>
        </w:rPr>
        <w:t>For Petit</w:t>
      </w:r>
      <w:r w:rsidR="00BA5DA2">
        <w:rPr>
          <w:b/>
          <w:color w:val="0000FF"/>
        </w:rPr>
        <w:t>ion Applications Briefing Paper:</w:t>
      </w:r>
    </w:p>
    <w:p w:rsidR="00BA5DA2" w:rsidRPr="00FE6D64" w:rsidRDefault="00BA5DA2">
      <w:pPr>
        <w:contextualSpacing/>
        <w:rPr>
          <w:b/>
          <w:color w:val="0000FF"/>
        </w:rPr>
      </w:pPr>
    </w:p>
    <w:p w:rsidR="007900B4" w:rsidRDefault="007900B4">
      <w:pPr>
        <w:contextualSpacing/>
      </w:pPr>
      <w:r>
        <w:t>POSITION OF INTERESTED PARTIES</w:t>
      </w:r>
    </w:p>
    <w:p w:rsidR="00BA5DA2" w:rsidRDefault="00BA5DA2">
      <w:pPr>
        <w:contextualSpacing/>
      </w:pPr>
    </w:p>
    <w:p w:rsidR="009F4F87" w:rsidRDefault="0075654A" w:rsidP="007900B4">
      <w:pPr>
        <w:spacing w:after="0" w:line="240" w:lineRule="auto"/>
        <w:contextualSpacing/>
      </w:pPr>
      <w:r w:rsidRPr="0075654A">
        <w:t>The filing of the petition/application is the first step in processing a proposed Department of the Interior agency withdrawal.  Upon approval of the petition/application by the Assistant Secretary, a Notice of Proposed Withdrawal would be published in a local newspaper and the Federal Register.  These Notices request public review of the proposed withdrawal and provide the public an opportunity to request a public meeting.  Approval of the petition/application would allow the BLM to consult with government organizations, tribal governments, and stakeholders and complete an analysis relative to the need for the withdrawal.  These outreach activities would allow the BLM to more accurately gauge the interest of various parties who might be impacted by a withdrawal.</w:t>
      </w:r>
    </w:p>
    <w:p w:rsidR="0075654A" w:rsidRDefault="0075654A" w:rsidP="007900B4">
      <w:pPr>
        <w:spacing w:after="0" w:line="240" w:lineRule="auto"/>
        <w:contextualSpacing/>
      </w:pPr>
    </w:p>
    <w:p w:rsidR="007900B4" w:rsidRPr="001830AA" w:rsidRDefault="007900B4" w:rsidP="007900B4">
      <w:pPr>
        <w:spacing w:after="0" w:line="240" w:lineRule="auto"/>
        <w:contextualSpacing/>
      </w:pPr>
      <w:r w:rsidRPr="001830AA">
        <w:t>LEGAL STATUS</w:t>
      </w:r>
    </w:p>
    <w:p w:rsidR="007900B4" w:rsidRPr="001830AA" w:rsidRDefault="007900B4" w:rsidP="007900B4">
      <w:pPr>
        <w:spacing w:after="0" w:line="240" w:lineRule="auto"/>
        <w:contextualSpacing/>
      </w:pPr>
    </w:p>
    <w:p w:rsidR="007900B4" w:rsidRDefault="007900B4" w:rsidP="007900B4">
      <w:pPr>
        <w:contextualSpacing/>
      </w:pPr>
      <w:r>
        <w:t>There is no litigation associated with this petition/application for proposed withdrawal.</w:t>
      </w:r>
    </w:p>
    <w:p w:rsidR="00F22BE8" w:rsidRDefault="00F22BE8" w:rsidP="007900B4">
      <w:pPr>
        <w:contextualSpacing/>
      </w:pPr>
    </w:p>
    <w:p w:rsidR="00804942" w:rsidRDefault="00804942" w:rsidP="007900B4">
      <w:pPr>
        <w:contextualSpacing/>
        <w:rPr>
          <w:b/>
          <w:color w:val="0000FF"/>
        </w:rPr>
      </w:pPr>
      <w:r>
        <w:rPr>
          <w:b/>
          <w:color w:val="0000FF"/>
        </w:rPr>
        <w:t>CX Recommendation:</w:t>
      </w:r>
    </w:p>
    <w:p w:rsidR="00804942" w:rsidRDefault="00804942" w:rsidP="007900B4">
      <w:pPr>
        <w:contextualSpacing/>
        <w:rPr>
          <w:b/>
          <w:color w:val="0000FF"/>
        </w:rPr>
      </w:pPr>
    </w:p>
    <w:p w:rsidR="00804942" w:rsidRPr="00804942" w:rsidRDefault="00804942" w:rsidP="007900B4">
      <w:pPr>
        <w:contextualSpacing/>
      </w:pPr>
      <w:r>
        <w:t>I have reviewed the proposed action and determined that the action would have no significant effect on the quality of the human environment, and would not involve unresolved conflicts concerning alternative uses of available resources and that no further environmental analysis is required.  It is my recommendation that the Department of Interior implement the proposed action as described.</w:t>
      </w:r>
    </w:p>
    <w:p w:rsidR="00804942" w:rsidRDefault="00804942" w:rsidP="007900B4">
      <w:pPr>
        <w:contextualSpacing/>
        <w:rPr>
          <w:b/>
          <w:color w:val="0000FF"/>
        </w:rPr>
      </w:pPr>
    </w:p>
    <w:p w:rsidR="00F22BE8" w:rsidRDefault="00F22BE8" w:rsidP="007900B4">
      <w:pPr>
        <w:contextualSpacing/>
      </w:pPr>
      <w:r w:rsidRPr="00F22BE8">
        <w:rPr>
          <w:b/>
          <w:color w:val="0000FF"/>
        </w:rPr>
        <w:t>For CXs from Alaska</w:t>
      </w:r>
      <w:r>
        <w:t>:</w:t>
      </w:r>
    </w:p>
    <w:p w:rsidR="00F22BE8" w:rsidRPr="00F22BE8" w:rsidRDefault="006332C9" w:rsidP="00F22BE8">
      <w:pPr>
        <w:contextualSpacing/>
      </w:pPr>
      <w:r w:rsidRPr="006332C9">
        <w:t>This action is covered by one of the Bureau of Land Management (BLM) categorical exclusions (CX) developed pursuant to the National Environmental Policy Act.  The BLM has screened the proposed action against Department of the Interior exceptions to the use of CXs and determined that none of the exceptions apply.  Therefore, neither an environmental impact statement nor an environmental assessment is necessary.  The BLM does not expect this action is to have any significant effect on subsistence uses and needs pursuant to Section 810 of the Alaska National Interest Lands Conservation Act, 16 U.S.C. 3120.  We recommend your approval.</w:t>
      </w:r>
    </w:p>
    <w:p w:rsidR="00F22BE8" w:rsidRDefault="00F22BE8" w:rsidP="007900B4">
      <w:pPr>
        <w:contextualSpacing/>
      </w:pPr>
    </w:p>
    <w:p w:rsidR="00ED11E7" w:rsidRDefault="00ED11E7" w:rsidP="007900B4">
      <w:pPr>
        <w:contextualSpacing/>
        <w:rPr>
          <w:b/>
          <w:bCs/>
          <w:color w:val="0000FF"/>
        </w:rPr>
      </w:pPr>
      <w:r w:rsidRPr="00ED11E7">
        <w:rPr>
          <w:b/>
          <w:bCs/>
          <w:color w:val="0000FF"/>
        </w:rPr>
        <w:t>EA for Alaska:</w:t>
      </w:r>
    </w:p>
    <w:p w:rsidR="00BA5DA2" w:rsidRDefault="00BA5DA2" w:rsidP="007900B4">
      <w:pPr>
        <w:contextualSpacing/>
        <w:rPr>
          <w:b/>
          <w:bCs/>
          <w:color w:val="0000FF"/>
        </w:rPr>
      </w:pPr>
    </w:p>
    <w:p w:rsidR="00ED11E7" w:rsidRDefault="00ED11E7" w:rsidP="00ED11E7">
      <w:pPr>
        <w:contextualSpacing/>
        <w:rPr>
          <w:bCs/>
        </w:rPr>
      </w:pPr>
      <w:r w:rsidRPr="00ED11E7">
        <w:rPr>
          <w:bCs/>
        </w:rPr>
        <w:t>An environmental assessment determined this action would have no significant impact on the quality of the human environment, and a detailed statement pursuant to Section 102(2</w:t>
      </w:r>
      <w:proofErr w:type="gramStart"/>
      <w:r w:rsidRPr="00ED11E7">
        <w:rPr>
          <w:bCs/>
        </w:rPr>
        <w:t>)(</w:t>
      </w:r>
      <w:proofErr w:type="gramEnd"/>
      <w:r w:rsidRPr="00ED11E7">
        <w:rPr>
          <w:bCs/>
        </w:rPr>
        <w:t>C) of the National Environmental Policy Act of 1969 is not required.  Any significant restriction on subsistence uses is unavoidable because the land is required to be conveyed to Alaska pursuant to Section 810(c) of the Alaska National Interest Lands Conservation Act, 16 U.S.C. 3120(c).</w:t>
      </w:r>
      <w:r w:rsidRPr="00ED11E7">
        <w:rPr>
          <w:bCs/>
          <w:i/>
        </w:rPr>
        <w:t xml:space="preserve">  </w:t>
      </w:r>
      <w:r w:rsidRPr="00ED11E7">
        <w:rPr>
          <w:bCs/>
        </w:rPr>
        <w:t>Your approval is recommended.</w:t>
      </w:r>
    </w:p>
    <w:p w:rsidR="00ED11E7" w:rsidRDefault="00ED11E7" w:rsidP="007900B4">
      <w:pPr>
        <w:contextualSpacing/>
      </w:pPr>
    </w:p>
    <w:p w:rsidR="00220ED2" w:rsidRDefault="00220ED2" w:rsidP="00220ED2">
      <w:pPr>
        <w:contextualSpacing/>
        <w:rPr>
          <w:b/>
          <w:color w:val="0000FF"/>
        </w:rPr>
      </w:pPr>
      <w:r w:rsidRPr="00220ED2">
        <w:rPr>
          <w:b/>
          <w:color w:val="0000FF"/>
        </w:rPr>
        <w:t>Alaska Revision 7/2011</w:t>
      </w:r>
    </w:p>
    <w:p w:rsidR="00BA5DA2" w:rsidRPr="00220ED2" w:rsidRDefault="00BA5DA2" w:rsidP="00220ED2">
      <w:pPr>
        <w:contextualSpacing/>
        <w:rPr>
          <w:b/>
          <w:color w:val="0000FF"/>
        </w:rPr>
      </w:pPr>
    </w:p>
    <w:p w:rsidR="00220ED2" w:rsidRPr="00220ED2" w:rsidRDefault="00220ED2" w:rsidP="00220ED2">
      <w:pPr>
        <w:contextualSpacing/>
      </w:pPr>
      <w:r w:rsidRPr="00220ED2">
        <w:t>While the land remains in federal ownership, there is no significant restriction on subsistence uses.  If the land ultimately is conveyed to the state pursuant to the Alaska Statehood Act, that conveyance will not result in a significant restriction on subsistence uses [assuming this is true, see below].   Even if any such restriction would result upon conveyance of the land to the state, conveyance of the land is authorized by Section 810(c) of the Alaska National Interest Lands Conservation Act."</w:t>
      </w:r>
    </w:p>
    <w:p w:rsidR="00220ED2" w:rsidRPr="00220ED2" w:rsidRDefault="00220ED2" w:rsidP="00220ED2">
      <w:pPr>
        <w:contextualSpacing/>
      </w:pPr>
      <w:r w:rsidRPr="00220ED2">
        <w:t>Second, modify the 810 determination accordingly.   Specifically, and especially in this situation, where the revocation is for the purpose of conveying the land to the state, the 810 determination should evaluate both the impacts of the revocation itself and of conveyance to the state.   In other words, the determination should (1) evaluate the effect of the revocation itself -- i.e., without subsequent conveyance -- on subsistence uses (from your email, it sounds like this is "none"), (2) evaluate the effect of the conveyance on subsistence uses (from your email, it sounds like this will be "some impact, but not a significant restriction") and (3) state that the land is still authorized to be conveyed to the State of Alaska pursuant to Section 810(c) of ANILCA even if there is a significant restriction.</w:t>
      </w:r>
    </w:p>
    <w:p w:rsidR="00220ED2" w:rsidRDefault="00220ED2" w:rsidP="00220ED2">
      <w:pPr>
        <w:contextualSpacing/>
      </w:pPr>
      <w:r w:rsidRPr="00220ED2">
        <w:t>(Note that this and similar language could be used in the context of conveyances to Native corporations as well – of course changing the language under #3 to refer to the Native Corporation instead of the state).</w:t>
      </w:r>
    </w:p>
    <w:p w:rsidR="00BA5DA2" w:rsidRPr="00220ED2" w:rsidRDefault="00BA5DA2" w:rsidP="00220ED2">
      <w:pPr>
        <w:contextualSpacing/>
      </w:pPr>
    </w:p>
    <w:p w:rsidR="00220ED2" w:rsidRDefault="004A4C07" w:rsidP="007900B4">
      <w:pPr>
        <w:contextualSpacing/>
        <w:rPr>
          <w:b/>
          <w:color w:val="0000FF"/>
        </w:rPr>
      </w:pPr>
      <w:r w:rsidRPr="004A4C07">
        <w:rPr>
          <w:b/>
          <w:color w:val="0000FF"/>
        </w:rPr>
        <w:t>Standard Statement for temporary</w:t>
      </w:r>
      <w:r w:rsidR="00FB74D7">
        <w:rPr>
          <w:b/>
          <w:color w:val="0000FF"/>
        </w:rPr>
        <w:t xml:space="preserve"> land</w:t>
      </w:r>
      <w:r w:rsidRPr="004A4C07">
        <w:rPr>
          <w:b/>
          <w:color w:val="0000FF"/>
        </w:rPr>
        <w:t xml:space="preserve"> uses under PLOs:</w:t>
      </w:r>
    </w:p>
    <w:p w:rsidR="00FB74D7" w:rsidRPr="004A4C07" w:rsidRDefault="00FB74D7" w:rsidP="007900B4">
      <w:pPr>
        <w:contextualSpacing/>
        <w:rPr>
          <w:b/>
          <w:color w:val="0000FF"/>
        </w:rPr>
      </w:pPr>
    </w:p>
    <w:p w:rsidR="001B2502" w:rsidRDefault="001B2502" w:rsidP="007900B4">
      <w:pPr>
        <w:contextualSpacing/>
      </w:pPr>
      <w:r w:rsidRPr="001B2502">
        <w:t xml:space="preserve">The withdrawal made by this order does not alter the applicability of those public land laws governing the use of land other than under the mining laws.  </w:t>
      </w:r>
    </w:p>
    <w:p w:rsidR="00E8670E" w:rsidRDefault="00E8670E" w:rsidP="007900B4">
      <w:pPr>
        <w:contextualSpacing/>
      </w:pPr>
    </w:p>
    <w:p w:rsidR="00E8670E" w:rsidRDefault="00E8670E" w:rsidP="007900B4">
      <w:pPr>
        <w:contextualSpacing/>
        <w:rPr>
          <w:b/>
          <w:color w:val="0000FF"/>
        </w:rPr>
      </w:pPr>
      <w:r w:rsidRPr="00E8670E">
        <w:rPr>
          <w:b/>
          <w:color w:val="0000FF"/>
        </w:rPr>
        <w:t>Standard Statement for</w:t>
      </w:r>
      <w:r>
        <w:rPr>
          <w:b/>
          <w:color w:val="0000FF"/>
        </w:rPr>
        <w:t xml:space="preserve"> </w:t>
      </w:r>
      <w:r w:rsidR="00033C3E" w:rsidRPr="00033C3E">
        <w:rPr>
          <w:b/>
          <w:color w:val="0000FF"/>
          <w:u w:val="single"/>
        </w:rPr>
        <w:t>Asst. Secretary Memo</w:t>
      </w:r>
      <w:r w:rsidR="00033C3E">
        <w:rPr>
          <w:b/>
          <w:color w:val="0000FF"/>
        </w:rPr>
        <w:t xml:space="preserve"> </w:t>
      </w:r>
      <w:r>
        <w:rPr>
          <w:b/>
          <w:color w:val="0000FF"/>
        </w:rPr>
        <w:t>closing paragraph on a Petition/</w:t>
      </w:r>
      <w:proofErr w:type="spellStart"/>
      <w:r>
        <w:rPr>
          <w:b/>
          <w:color w:val="0000FF"/>
        </w:rPr>
        <w:t>Apln</w:t>
      </w:r>
      <w:proofErr w:type="spellEnd"/>
      <w:r>
        <w:rPr>
          <w:b/>
          <w:color w:val="0000FF"/>
        </w:rPr>
        <w:t>:</w:t>
      </w:r>
    </w:p>
    <w:p w:rsidR="00E8670E" w:rsidRDefault="00E8670E" w:rsidP="007900B4">
      <w:pPr>
        <w:contextualSpacing/>
        <w:rPr>
          <w:b/>
          <w:color w:val="0000FF"/>
        </w:rPr>
      </w:pPr>
    </w:p>
    <w:p w:rsidR="00F8298A" w:rsidRDefault="00E8670E">
      <w:pPr>
        <w:contextualSpacing/>
      </w:pPr>
      <w:r w:rsidRPr="00E8670E">
        <w:t>Your approval would allow us to complete an analysis relative to the need to extend the withdrawal.  The Bureau of Land Management will publish a Notice of Proposed Withdrawal in the Federal Register and a newspaper of general circulation if you approve the petition/application.  Attached is the information required for submission of a petition/ application.  We recommend your approval.</w:t>
      </w:r>
    </w:p>
    <w:p w:rsidR="0033113E" w:rsidRDefault="0033113E" w:rsidP="007900B4">
      <w:pPr>
        <w:contextualSpacing/>
      </w:pPr>
    </w:p>
    <w:p w:rsidR="0033113E" w:rsidRPr="0033113E" w:rsidRDefault="0033113E" w:rsidP="007900B4">
      <w:pPr>
        <w:contextualSpacing/>
        <w:rPr>
          <w:b/>
          <w:color w:val="0000FF"/>
        </w:rPr>
      </w:pPr>
      <w:r w:rsidRPr="0033113E">
        <w:rPr>
          <w:b/>
          <w:color w:val="0000FF"/>
        </w:rPr>
        <w:t>Standard Statement for paragraph #5 Native American Consultations in the FR Briefing Paper</w:t>
      </w:r>
      <w:r>
        <w:rPr>
          <w:b/>
          <w:color w:val="0000FF"/>
        </w:rPr>
        <w:t>:</w:t>
      </w:r>
    </w:p>
    <w:p w:rsidR="0033113E" w:rsidRDefault="0033113E" w:rsidP="007900B4">
      <w:pPr>
        <w:contextualSpacing/>
      </w:pPr>
    </w:p>
    <w:p w:rsidR="0033113E" w:rsidRDefault="0033113E" w:rsidP="007900B4">
      <w:pPr>
        <w:contextualSpacing/>
      </w:pPr>
      <w:r w:rsidRPr="0033113E">
        <w:lastRenderedPageBreak/>
        <w:t>There are no known Native American issues associated with this action.  Notification of the proposal will be distributed to the State, Tribal, and local governments upon publication of this notice.  If formal tribal consultation is needed, the USFS will comply.</w:t>
      </w:r>
    </w:p>
    <w:p w:rsidR="003D2F06" w:rsidRDefault="003D2F06" w:rsidP="007900B4">
      <w:pPr>
        <w:contextualSpacing/>
      </w:pPr>
    </w:p>
    <w:p w:rsidR="003D2F06" w:rsidRDefault="003D2F06" w:rsidP="007900B4">
      <w:pPr>
        <w:contextualSpacing/>
      </w:pPr>
      <w:r>
        <w:t>Or</w:t>
      </w:r>
    </w:p>
    <w:p w:rsidR="003D2F06" w:rsidRDefault="003D2F06" w:rsidP="007900B4">
      <w:pPr>
        <w:contextualSpacing/>
      </w:pPr>
    </w:p>
    <w:p w:rsidR="003D2F06" w:rsidRDefault="003D2F06" w:rsidP="007900B4">
      <w:pPr>
        <w:contextualSpacing/>
      </w:pPr>
      <w:r w:rsidRPr="003D2F06">
        <w:t xml:space="preserve">Appropriate </w:t>
      </w:r>
      <w:r w:rsidR="0096365D">
        <w:t xml:space="preserve">tribal </w:t>
      </w:r>
      <w:r w:rsidRPr="003D2F06">
        <w:t>consultation will be pursued during the time the application is processed and during this public comment period announced in this notice.</w:t>
      </w:r>
    </w:p>
    <w:p w:rsidR="0087185E" w:rsidRDefault="0087185E" w:rsidP="007900B4">
      <w:pPr>
        <w:contextualSpacing/>
      </w:pPr>
    </w:p>
    <w:p w:rsidR="0087185E" w:rsidRDefault="0087185E" w:rsidP="007900B4">
      <w:pPr>
        <w:contextualSpacing/>
      </w:pPr>
    </w:p>
    <w:p w:rsidR="00F8298A" w:rsidRDefault="00B03656" w:rsidP="007900B4">
      <w:pPr>
        <w:contextualSpacing/>
        <w:rPr>
          <w:b/>
          <w:color w:val="0000FF"/>
        </w:rPr>
      </w:pPr>
      <w:r>
        <w:rPr>
          <w:b/>
          <w:color w:val="0000FF"/>
        </w:rPr>
        <w:t xml:space="preserve">PLO WO </w:t>
      </w:r>
      <w:r w:rsidR="00F8298A" w:rsidRPr="00F8298A">
        <w:rPr>
          <w:b/>
          <w:color w:val="0000FF"/>
        </w:rPr>
        <w:t>Routing</w:t>
      </w:r>
      <w:r>
        <w:rPr>
          <w:b/>
          <w:color w:val="0000FF"/>
        </w:rPr>
        <w:t xml:space="preserve"> in the CC Block</w:t>
      </w:r>
      <w:r w:rsidR="00F8298A" w:rsidRPr="00F8298A">
        <w:rPr>
          <w:b/>
          <w:color w:val="0000FF"/>
        </w:rPr>
        <w:t>:</w:t>
      </w:r>
    </w:p>
    <w:p w:rsidR="00F8298A" w:rsidRPr="00F8298A" w:rsidRDefault="00F8298A" w:rsidP="00F8298A">
      <w:pPr>
        <w:widowControl w:val="0"/>
        <w:tabs>
          <w:tab w:val="left" w:pos="532"/>
          <w:tab w:val="left" w:pos="1260"/>
        </w:tabs>
        <w:autoSpaceDE w:val="0"/>
        <w:autoSpaceDN w:val="0"/>
        <w:adjustRightInd w:val="0"/>
        <w:spacing w:after="0" w:line="240" w:lineRule="auto"/>
        <w:rPr>
          <w:rFonts w:eastAsia="Times New Roman"/>
        </w:rPr>
      </w:pPr>
      <w:r w:rsidRPr="00F8298A">
        <w:rPr>
          <w:rFonts w:eastAsia="Times New Roman"/>
        </w:rPr>
        <w:t xml:space="preserve">Sec. </w:t>
      </w:r>
      <w:proofErr w:type="spellStart"/>
      <w:r w:rsidRPr="00F8298A">
        <w:rPr>
          <w:rFonts w:eastAsia="Times New Roman"/>
        </w:rPr>
        <w:t>Ofc</w:t>
      </w:r>
      <w:proofErr w:type="spellEnd"/>
      <w:r w:rsidRPr="00F8298A">
        <w:rPr>
          <w:rFonts w:eastAsia="Times New Roman"/>
        </w:rPr>
        <w:t>.: MIB, Rm. 1416</w:t>
      </w:r>
    </w:p>
    <w:p w:rsidR="00F8298A" w:rsidRPr="00F8298A" w:rsidRDefault="00F8298A" w:rsidP="00F8298A">
      <w:pPr>
        <w:widowControl w:val="0"/>
        <w:tabs>
          <w:tab w:val="left" w:pos="532"/>
        </w:tabs>
        <w:autoSpaceDE w:val="0"/>
        <w:autoSpaceDN w:val="0"/>
        <w:adjustRightInd w:val="0"/>
        <w:spacing w:after="0" w:line="240" w:lineRule="auto"/>
        <w:rPr>
          <w:rFonts w:eastAsia="Times New Roman"/>
        </w:rPr>
      </w:pPr>
      <w:r w:rsidRPr="00F8298A">
        <w:rPr>
          <w:rFonts w:eastAsia="Times New Roman"/>
        </w:rPr>
        <w:t>Sec. RF (2)</w:t>
      </w:r>
      <w:proofErr w:type="gramStart"/>
      <w:r w:rsidRPr="00F8298A">
        <w:rPr>
          <w:rFonts w:eastAsia="Times New Roman"/>
        </w:rPr>
        <w:t>:MIB</w:t>
      </w:r>
      <w:proofErr w:type="gramEnd"/>
      <w:r w:rsidRPr="00F8298A">
        <w:rPr>
          <w:rFonts w:eastAsia="Times New Roman"/>
        </w:rPr>
        <w:t>, Rm 1416</w:t>
      </w:r>
    </w:p>
    <w:p w:rsidR="00F8298A" w:rsidRPr="00F8298A" w:rsidRDefault="00F8298A" w:rsidP="00F8298A">
      <w:pPr>
        <w:widowControl w:val="0"/>
        <w:tabs>
          <w:tab w:val="left" w:pos="532"/>
        </w:tabs>
        <w:autoSpaceDE w:val="0"/>
        <w:autoSpaceDN w:val="0"/>
        <w:adjustRightInd w:val="0"/>
        <w:spacing w:after="0" w:line="240" w:lineRule="auto"/>
        <w:rPr>
          <w:rFonts w:eastAsia="Times New Roman"/>
        </w:rPr>
      </w:pPr>
      <w:r w:rsidRPr="00F8298A">
        <w:rPr>
          <w:rFonts w:eastAsia="Times New Roman"/>
        </w:rPr>
        <w:t>AS-</w:t>
      </w:r>
      <w:proofErr w:type="gramStart"/>
      <w:r w:rsidRPr="00F8298A">
        <w:rPr>
          <w:rFonts w:eastAsia="Times New Roman"/>
        </w:rPr>
        <w:t>LM(</w:t>
      </w:r>
      <w:proofErr w:type="gramEnd"/>
      <w:r w:rsidRPr="00F8298A">
        <w:rPr>
          <w:rFonts w:eastAsia="Times New Roman"/>
        </w:rPr>
        <w:t>2):MIB, Rm. 6327</w:t>
      </w:r>
    </w:p>
    <w:p w:rsidR="00F8298A" w:rsidRPr="00F8298A" w:rsidRDefault="00F8298A" w:rsidP="00F8298A">
      <w:pPr>
        <w:widowControl w:val="0"/>
        <w:tabs>
          <w:tab w:val="left" w:pos="532"/>
        </w:tabs>
        <w:autoSpaceDE w:val="0"/>
        <w:autoSpaceDN w:val="0"/>
        <w:adjustRightInd w:val="0"/>
        <w:spacing w:after="0" w:line="240" w:lineRule="auto"/>
        <w:rPr>
          <w:rFonts w:eastAsia="Times New Roman"/>
        </w:rPr>
      </w:pPr>
      <w:r w:rsidRPr="00F8298A">
        <w:rPr>
          <w:rFonts w:eastAsia="Times New Roman"/>
        </w:rPr>
        <w:t>LLM</w:t>
      </w:r>
      <w:proofErr w:type="gramStart"/>
      <w:r w:rsidRPr="00F8298A">
        <w:rPr>
          <w:rFonts w:eastAsia="Times New Roman"/>
        </w:rPr>
        <w:t>:350:MS</w:t>
      </w:r>
      <w:proofErr w:type="gramEnd"/>
      <w:r w:rsidRPr="00F8298A">
        <w:rPr>
          <w:rFonts w:eastAsia="Times New Roman"/>
        </w:rPr>
        <w:t xml:space="preserve"> 4</w:t>
      </w:r>
      <w:r w:rsidRPr="00F8298A">
        <w:rPr>
          <w:rFonts w:eastAsia="Times New Roman"/>
          <w:vertAlign w:val="superscript"/>
        </w:rPr>
        <w:t>th</w:t>
      </w:r>
      <w:r w:rsidRPr="00F8298A">
        <w:rPr>
          <w:rFonts w:eastAsia="Times New Roman"/>
        </w:rPr>
        <w:t xml:space="preserve"> MS: 350 </w:t>
      </w:r>
      <w:proofErr w:type="spellStart"/>
      <w:r w:rsidRPr="00F8298A">
        <w:rPr>
          <w:rFonts w:eastAsia="Times New Roman"/>
        </w:rPr>
        <w:t>rf</w:t>
      </w:r>
      <w:proofErr w:type="spellEnd"/>
      <w:r w:rsidRPr="00F8298A">
        <w:rPr>
          <w:rFonts w:eastAsia="Times New Roman"/>
        </w:rPr>
        <w:t>; 350 hold</w:t>
      </w:r>
    </w:p>
    <w:p w:rsidR="00F8298A" w:rsidRDefault="00F8298A" w:rsidP="007900B4">
      <w:pPr>
        <w:contextualSpacing/>
        <w:rPr>
          <w:b/>
        </w:rPr>
      </w:pPr>
    </w:p>
    <w:p w:rsidR="00804942" w:rsidRPr="00F8298A" w:rsidRDefault="00804942" w:rsidP="007900B4">
      <w:pPr>
        <w:contextualSpacing/>
        <w:rPr>
          <w:b/>
        </w:rPr>
      </w:pPr>
    </w:p>
    <w:sectPr w:rsidR="00804942" w:rsidRPr="00F8298A" w:rsidSect="00760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7F1E"/>
    <w:rsid w:val="000338D5"/>
    <w:rsid w:val="00033C3E"/>
    <w:rsid w:val="0006315D"/>
    <w:rsid w:val="000A53D4"/>
    <w:rsid w:val="000C7F3E"/>
    <w:rsid w:val="00117306"/>
    <w:rsid w:val="001B2502"/>
    <w:rsid w:val="00213AA4"/>
    <w:rsid w:val="00220ED2"/>
    <w:rsid w:val="00243FCE"/>
    <w:rsid w:val="0024542C"/>
    <w:rsid w:val="002B6DF1"/>
    <w:rsid w:val="00310072"/>
    <w:rsid w:val="0033113E"/>
    <w:rsid w:val="00351FFF"/>
    <w:rsid w:val="003D2F06"/>
    <w:rsid w:val="003E717A"/>
    <w:rsid w:val="00433E2E"/>
    <w:rsid w:val="00487106"/>
    <w:rsid w:val="004A4C07"/>
    <w:rsid w:val="004F74D8"/>
    <w:rsid w:val="005A6AB9"/>
    <w:rsid w:val="005F6888"/>
    <w:rsid w:val="006079E6"/>
    <w:rsid w:val="00631944"/>
    <w:rsid w:val="006332C9"/>
    <w:rsid w:val="006B775E"/>
    <w:rsid w:val="006D12AF"/>
    <w:rsid w:val="00735F96"/>
    <w:rsid w:val="0075654A"/>
    <w:rsid w:val="00760123"/>
    <w:rsid w:val="007900B4"/>
    <w:rsid w:val="007A642F"/>
    <w:rsid w:val="007F7431"/>
    <w:rsid w:val="00804942"/>
    <w:rsid w:val="0087185E"/>
    <w:rsid w:val="0088233E"/>
    <w:rsid w:val="008B01E9"/>
    <w:rsid w:val="008B4B04"/>
    <w:rsid w:val="0096365D"/>
    <w:rsid w:val="00965003"/>
    <w:rsid w:val="009B0BBD"/>
    <w:rsid w:val="009D2312"/>
    <w:rsid w:val="009F4F87"/>
    <w:rsid w:val="00A0505F"/>
    <w:rsid w:val="00A1180F"/>
    <w:rsid w:val="00A834C2"/>
    <w:rsid w:val="00AA20E9"/>
    <w:rsid w:val="00AC3C5F"/>
    <w:rsid w:val="00AD37C0"/>
    <w:rsid w:val="00AE5ED3"/>
    <w:rsid w:val="00B03656"/>
    <w:rsid w:val="00B4519E"/>
    <w:rsid w:val="00B4566D"/>
    <w:rsid w:val="00B56A88"/>
    <w:rsid w:val="00BA5DA2"/>
    <w:rsid w:val="00BB6AB7"/>
    <w:rsid w:val="00C92E01"/>
    <w:rsid w:val="00C97F1E"/>
    <w:rsid w:val="00CD234F"/>
    <w:rsid w:val="00D15571"/>
    <w:rsid w:val="00D657D5"/>
    <w:rsid w:val="00DA02F2"/>
    <w:rsid w:val="00DB7438"/>
    <w:rsid w:val="00E80BFD"/>
    <w:rsid w:val="00E8670E"/>
    <w:rsid w:val="00ED11E7"/>
    <w:rsid w:val="00ED22E9"/>
    <w:rsid w:val="00F13D0F"/>
    <w:rsid w:val="00F14754"/>
    <w:rsid w:val="00F20295"/>
    <w:rsid w:val="00F22BE8"/>
    <w:rsid w:val="00F3478C"/>
    <w:rsid w:val="00F8298A"/>
    <w:rsid w:val="00FB74D7"/>
    <w:rsid w:val="00FC5E81"/>
    <w:rsid w:val="00FE6D64"/>
    <w:rsid w:val="00FF02F2"/>
    <w:rsid w:val="00FF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88"/>
  </w:style>
  <w:style w:type="paragraph" w:styleId="Heading1">
    <w:name w:val="heading 1"/>
    <w:basedOn w:val="Normal"/>
    <w:next w:val="Normal"/>
    <w:link w:val="Heading1Char"/>
    <w:uiPriority w:val="9"/>
    <w:qFormat/>
    <w:rsid w:val="00B56A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A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56A88"/>
    <w:pPr>
      <w:spacing w:after="0" w:line="240" w:lineRule="auto"/>
    </w:pPr>
  </w:style>
  <w:style w:type="paragraph" w:styleId="BalloonText">
    <w:name w:val="Balloon Text"/>
    <w:basedOn w:val="Normal"/>
    <w:link w:val="BalloonTextChar"/>
    <w:uiPriority w:val="99"/>
    <w:semiHidden/>
    <w:unhideWhenUsed/>
    <w:rsid w:val="00F3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m1barnes</dc:creator>
  <cp:keywords/>
  <dc:description/>
  <cp:lastModifiedBy>Barnes, Michael L</cp:lastModifiedBy>
  <cp:revision>44</cp:revision>
  <cp:lastPrinted>2010-11-03T18:16:00Z</cp:lastPrinted>
  <dcterms:created xsi:type="dcterms:W3CDTF">2010-04-06T15:39:00Z</dcterms:created>
  <dcterms:modified xsi:type="dcterms:W3CDTF">2017-02-07T19:32:00Z</dcterms:modified>
</cp:coreProperties>
</file>