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087" w:rsidRDefault="00E95FC0" w:rsidP="0057169E">
      <w:pPr>
        <w:spacing w:line="240" w:lineRule="auto"/>
        <w:contextualSpacing/>
        <w:jc w:val="center"/>
      </w:pPr>
      <w:bookmarkStart w:id="0" w:name="_GoBack"/>
      <w:bookmarkEnd w:id="0"/>
      <w:r>
        <w:rPr>
          <w:rFonts w:ascii="Times New Roman" w:eastAsia="Times New Roman" w:hAnsi="Times New Roman" w:cs="Times New Roman"/>
          <w:b/>
          <w:sz w:val="24"/>
        </w:rPr>
        <w:t>SECTION 204</w:t>
      </w:r>
      <w:r w:rsidR="001A0D75">
        <w:rPr>
          <w:rFonts w:ascii="Times New Roman" w:eastAsia="Times New Roman" w:hAnsi="Times New Roman" w:cs="Times New Roman"/>
          <w:b/>
          <w:sz w:val="24"/>
        </w:rPr>
        <w:t>c</w:t>
      </w:r>
      <w:r>
        <w:rPr>
          <w:rFonts w:ascii="Times New Roman" w:eastAsia="Times New Roman" w:hAnsi="Times New Roman" w:cs="Times New Roman"/>
          <w:b/>
          <w:sz w:val="24"/>
        </w:rPr>
        <w:t xml:space="preserve"> REPORT </w:t>
      </w:r>
      <w:r w:rsidR="00265643">
        <w:rPr>
          <w:rFonts w:ascii="Times New Roman" w:eastAsia="Times New Roman" w:hAnsi="Times New Roman" w:cs="Times New Roman"/>
          <w:b/>
          <w:sz w:val="24"/>
        </w:rPr>
        <w:t xml:space="preserve">FOR </w:t>
      </w:r>
      <w:r>
        <w:rPr>
          <w:rFonts w:ascii="Times New Roman" w:eastAsia="Times New Roman" w:hAnsi="Times New Roman" w:cs="Times New Roman"/>
          <w:b/>
          <w:sz w:val="24"/>
        </w:rPr>
        <w:t>THE NORTH AND MIDDLE FORK OF THE AMERICAN RIVER</w:t>
      </w:r>
      <w:r w:rsidR="00265643">
        <w:rPr>
          <w:rFonts w:ascii="Times New Roman" w:eastAsia="Times New Roman" w:hAnsi="Times New Roman" w:cs="Times New Roman"/>
          <w:b/>
          <w:sz w:val="24"/>
        </w:rPr>
        <w:t xml:space="preserve"> WITHDRAWAL</w:t>
      </w:r>
    </w:p>
    <w:p w:rsidR="000C5087" w:rsidRDefault="00E95FC0" w:rsidP="0057169E">
      <w:pPr>
        <w:spacing w:line="240" w:lineRule="auto"/>
        <w:contextualSpacing/>
        <w:jc w:val="center"/>
      </w:pPr>
      <w:r>
        <w:rPr>
          <w:rFonts w:ascii="Times New Roman" w:eastAsia="Times New Roman" w:hAnsi="Times New Roman" w:cs="Times New Roman"/>
          <w:b/>
          <w:sz w:val="24"/>
        </w:rPr>
        <w:t>EL DORADO AND PLACER COUNT</w:t>
      </w:r>
      <w:r w:rsidR="00AF7AF1">
        <w:rPr>
          <w:rFonts w:ascii="Times New Roman" w:eastAsia="Times New Roman" w:hAnsi="Times New Roman" w:cs="Times New Roman"/>
          <w:b/>
          <w:sz w:val="24"/>
        </w:rPr>
        <w:t>IES</w:t>
      </w:r>
      <w:r>
        <w:rPr>
          <w:rFonts w:ascii="Times New Roman" w:eastAsia="Times New Roman" w:hAnsi="Times New Roman" w:cs="Times New Roman"/>
          <w:b/>
          <w:sz w:val="24"/>
        </w:rPr>
        <w:t>, CALIFORNIA</w:t>
      </w:r>
    </w:p>
    <w:p w:rsidR="000C5087" w:rsidRDefault="000C5087" w:rsidP="0057169E">
      <w:pPr>
        <w:spacing w:line="240" w:lineRule="auto"/>
        <w:contextualSpacing/>
        <w:jc w:val="center"/>
      </w:pPr>
    </w:p>
    <w:p w:rsidR="000C5087" w:rsidRDefault="00E95FC0" w:rsidP="0057169E">
      <w:pPr>
        <w:spacing w:line="240" w:lineRule="auto"/>
        <w:contextualSpacing/>
      </w:pPr>
      <w:r>
        <w:rPr>
          <w:rFonts w:ascii="Times New Roman" w:eastAsia="Times New Roman" w:hAnsi="Times New Roman" w:cs="Times New Roman"/>
          <w:b/>
          <w:sz w:val="24"/>
          <w:u w:val="single"/>
        </w:rPr>
        <w:t>INTRODUCTION:</w:t>
      </w:r>
      <w:r>
        <w:rPr>
          <w:rFonts w:ascii="Times New Roman" w:eastAsia="Times New Roman" w:hAnsi="Times New Roman" w:cs="Times New Roman"/>
          <w:b/>
          <w:sz w:val="24"/>
        </w:rPr>
        <w:t xml:space="preserve">  </w:t>
      </w:r>
      <w:r w:rsidR="00C76298">
        <w:rPr>
          <w:rFonts w:ascii="Times New Roman" w:hAnsi="Times New Roman" w:cs="Times New Roman"/>
          <w:sz w:val="24"/>
          <w:szCs w:val="24"/>
        </w:rPr>
        <w:t xml:space="preserve">The </w:t>
      </w:r>
      <w:r w:rsidR="00AF7AF1">
        <w:rPr>
          <w:rFonts w:ascii="Times New Roman" w:hAnsi="Times New Roman" w:cs="Times New Roman"/>
          <w:sz w:val="24"/>
          <w:szCs w:val="24"/>
        </w:rPr>
        <w:t xml:space="preserve">Assistant Secretary – Land and Minerals Management </w:t>
      </w:r>
      <w:r w:rsidR="00B11C04">
        <w:rPr>
          <w:rFonts w:ascii="Times New Roman" w:hAnsi="Times New Roman" w:cs="Times New Roman"/>
          <w:sz w:val="24"/>
          <w:szCs w:val="24"/>
        </w:rPr>
        <w:t>withdr</w:t>
      </w:r>
      <w:r w:rsidR="00AF7AF1">
        <w:rPr>
          <w:rFonts w:ascii="Times New Roman" w:hAnsi="Times New Roman" w:cs="Times New Roman"/>
          <w:sz w:val="24"/>
          <w:szCs w:val="24"/>
        </w:rPr>
        <w:t>ew</w:t>
      </w:r>
      <w:r w:rsidR="00B11C04">
        <w:rPr>
          <w:rFonts w:ascii="Times New Roman" w:hAnsi="Times New Roman" w:cs="Times New Roman"/>
          <w:sz w:val="24"/>
          <w:szCs w:val="24"/>
        </w:rPr>
        <w:t xml:space="preserve"> </w:t>
      </w:r>
      <w:r w:rsidR="00265643" w:rsidRPr="00265643">
        <w:rPr>
          <w:rFonts w:ascii="Times New Roman" w:hAnsi="Times New Roman" w:cs="Times New Roman"/>
          <w:sz w:val="24"/>
          <w:szCs w:val="24"/>
        </w:rPr>
        <w:t xml:space="preserve">6,737.42 </w:t>
      </w:r>
      <w:r w:rsidR="00C76298" w:rsidRPr="007B044D">
        <w:rPr>
          <w:rFonts w:ascii="Times New Roman" w:hAnsi="Times New Roman" w:cs="Times New Roman"/>
          <w:sz w:val="24"/>
          <w:szCs w:val="24"/>
        </w:rPr>
        <w:t>acres</w:t>
      </w:r>
      <w:r w:rsidR="00C76298">
        <w:rPr>
          <w:rFonts w:ascii="Times New Roman" w:hAnsi="Times New Roman" w:cs="Times New Roman"/>
          <w:sz w:val="24"/>
          <w:szCs w:val="24"/>
        </w:rPr>
        <w:t xml:space="preserve"> of public lands from location </w:t>
      </w:r>
      <w:r w:rsidR="00265643">
        <w:rPr>
          <w:rFonts w:ascii="Times New Roman" w:hAnsi="Times New Roman" w:cs="Times New Roman"/>
          <w:sz w:val="24"/>
          <w:szCs w:val="24"/>
        </w:rPr>
        <w:t>and</w:t>
      </w:r>
      <w:r w:rsidR="00C76298">
        <w:rPr>
          <w:rFonts w:ascii="Times New Roman" w:hAnsi="Times New Roman" w:cs="Times New Roman"/>
          <w:sz w:val="24"/>
          <w:szCs w:val="24"/>
        </w:rPr>
        <w:t xml:space="preserve"> entry under the </w:t>
      </w:r>
      <w:r w:rsidR="00265643">
        <w:rPr>
          <w:rFonts w:ascii="Times New Roman" w:hAnsi="Times New Roman" w:cs="Times New Roman"/>
          <w:sz w:val="24"/>
          <w:szCs w:val="24"/>
        </w:rPr>
        <w:t xml:space="preserve">United States </w:t>
      </w:r>
      <w:r w:rsidR="00C76298">
        <w:rPr>
          <w:rFonts w:ascii="Times New Roman" w:hAnsi="Times New Roman" w:cs="Times New Roman"/>
          <w:sz w:val="24"/>
          <w:szCs w:val="24"/>
        </w:rPr>
        <w:t>mining laws</w:t>
      </w:r>
      <w:r w:rsidR="00265643">
        <w:rPr>
          <w:rFonts w:ascii="Times New Roman" w:hAnsi="Times New Roman" w:cs="Times New Roman"/>
          <w:sz w:val="24"/>
          <w:szCs w:val="24"/>
        </w:rPr>
        <w:t>, but not from leasing under the mineral or geothermal leasing laws,</w:t>
      </w:r>
      <w:r w:rsidR="00C76298">
        <w:rPr>
          <w:rFonts w:ascii="Times New Roman" w:hAnsi="Times New Roman" w:cs="Times New Roman"/>
          <w:sz w:val="24"/>
          <w:szCs w:val="24"/>
        </w:rPr>
        <w:t xml:space="preserve"> for a 20</w:t>
      </w:r>
      <w:r w:rsidR="00265643">
        <w:rPr>
          <w:rFonts w:ascii="Times New Roman" w:hAnsi="Times New Roman" w:cs="Times New Roman"/>
          <w:sz w:val="24"/>
          <w:szCs w:val="24"/>
        </w:rPr>
        <w:noBreakHyphen/>
      </w:r>
      <w:r w:rsidR="00C76298">
        <w:rPr>
          <w:rFonts w:ascii="Times New Roman" w:hAnsi="Times New Roman" w:cs="Times New Roman"/>
          <w:sz w:val="24"/>
          <w:szCs w:val="24"/>
        </w:rPr>
        <w:t>year</w:t>
      </w:r>
      <w:r w:rsidR="00265643">
        <w:rPr>
          <w:rFonts w:ascii="Times New Roman" w:hAnsi="Times New Roman" w:cs="Times New Roman"/>
          <w:sz w:val="24"/>
          <w:szCs w:val="24"/>
        </w:rPr>
        <w:t xml:space="preserve"> term</w:t>
      </w:r>
      <w:r w:rsidR="00C76298">
        <w:rPr>
          <w:rFonts w:ascii="Times New Roman" w:hAnsi="Times New Roman" w:cs="Times New Roman"/>
          <w:sz w:val="24"/>
          <w:szCs w:val="24"/>
        </w:rPr>
        <w:t xml:space="preserve">. </w:t>
      </w:r>
      <w:r w:rsidR="00265643">
        <w:rPr>
          <w:rFonts w:ascii="Times New Roman" w:hAnsi="Times New Roman" w:cs="Times New Roman"/>
          <w:sz w:val="24"/>
          <w:szCs w:val="24"/>
        </w:rPr>
        <w:t xml:space="preserve"> </w:t>
      </w:r>
      <w:r>
        <w:rPr>
          <w:rFonts w:ascii="Times New Roman" w:eastAsia="Times New Roman" w:hAnsi="Times New Roman" w:cs="Times New Roman"/>
          <w:sz w:val="24"/>
        </w:rPr>
        <w:t>In compliance with Section 204(c)(2) of the Federal Land Policy and Management Act of 1976, 43 U.S.C. 1714 (FLPMA), this report has been prepared to provide information regarding the withdrawal of public lands.  This report summarizes the withdrawal and addresses the planning and other notice requirements applicable to withdrawals of public lands over 5,000 acres.</w:t>
      </w:r>
    </w:p>
    <w:p w:rsidR="0057169E" w:rsidRDefault="0057169E" w:rsidP="0057169E">
      <w:pPr>
        <w:spacing w:line="240" w:lineRule="auto"/>
        <w:contextualSpacing/>
        <w:rPr>
          <w:rFonts w:ascii="Times New Roman" w:eastAsia="Times New Roman" w:hAnsi="Times New Roman" w:cs="Times New Roman"/>
          <w:b/>
          <w:i/>
          <w:sz w:val="24"/>
          <w:u w:val="single"/>
        </w:rPr>
      </w:pPr>
    </w:p>
    <w:p w:rsidR="000C5087" w:rsidRDefault="00E95FC0" w:rsidP="0057169E">
      <w:pPr>
        <w:spacing w:line="240" w:lineRule="auto"/>
        <w:contextualSpacing/>
      </w:pPr>
      <w:r>
        <w:rPr>
          <w:rFonts w:ascii="Times New Roman" w:eastAsia="Times New Roman" w:hAnsi="Times New Roman" w:cs="Times New Roman"/>
          <w:b/>
          <w:i/>
          <w:sz w:val="24"/>
          <w:u w:val="single"/>
        </w:rPr>
        <w:t>ITEM 1</w:t>
      </w:r>
      <w:r>
        <w:rPr>
          <w:rFonts w:ascii="Times New Roman" w:eastAsia="Times New Roman" w:hAnsi="Times New Roman" w:cs="Times New Roman"/>
          <w:b/>
          <w:i/>
          <w:sz w:val="24"/>
        </w:rPr>
        <w:t xml:space="preserve"> </w:t>
      </w:r>
      <w:r w:rsidR="006E12E9">
        <w:rPr>
          <w:rFonts w:ascii="Times New Roman" w:eastAsia="Times New Roman" w:hAnsi="Times New Roman" w:cs="Times New Roman"/>
          <w:b/>
          <w:i/>
          <w:sz w:val="24"/>
        </w:rPr>
        <w:t xml:space="preserve"> </w:t>
      </w:r>
      <w:r>
        <w:rPr>
          <w:rFonts w:ascii="Times New Roman" w:eastAsia="Times New Roman" w:hAnsi="Times New Roman" w:cs="Times New Roman"/>
          <w:b/>
          <w:i/>
          <w:sz w:val="24"/>
        </w:rPr>
        <w:t>A clear explanation of the proposed use of the land which led to the withdrawal.</w:t>
      </w:r>
    </w:p>
    <w:p w:rsidR="0057169E" w:rsidRDefault="0057169E" w:rsidP="0057169E">
      <w:pPr>
        <w:spacing w:after="0" w:line="240" w:lineRule="auto"/>
        <w:contextualSpacing/>
        <w:rPr>
          <w:rFonts w:ascii="Times New Roman" w:eastAsia="Times New Roman" w:hAnsi="Times New Roman" w:cs="Times New Roman"/>
          <w:sz w:val="24"/>
        </w:rPr>
      </w:pPr>
    </w:p>
    <w:p w:rsidR="000C5087" w:rsidRDefault="00E95FC0" w:rsidP="0057169E">
      <w:pPr>
        <w:spacing w:after="0" w:line="240" w:lineRule="auto"/>
        <w:contextualSpacing/>
      </w:pPr>
      <w:r>
        <w:rPr>
          <w:rFonts w:ascii="Times New Roman" w:eastAsia="Times New Roman" w:hAnsi="Times New Roman" w:cs="Times New Roman"/>
          <w:sz w:val="24"/>
        </w:rPr>
        <w:t xml:space="preserve">In September 1965, Congress authorized construction of Auburn Dam and Reservoir.  The Bureau of Reclamation started construction in 1967 and included a bypass tunnel, a cofferdam, and excavations for the dam foundation.  However construction was suspended in 1977 to conduct a seismic safety study that culminated in a change of design for the </w:t>
      </w:r>
      <w:r w:rsidR="00354A78">
        <w:rPr>
          <w:rFonts w:ascii="Times New Roman" w:eastAsia="Times New Roman" w:hAnsi="Times New Roman" w:cs="Times New Roman"/>
          <w:sz w:val="24"/>
        </w:rPr>
        <w:t>D</w:t>
      </w:r>
      <w:r>
        <w:rPr>
          <w:rFonts w:ascii="Times New Roman" w:eastAsia="Times New Roman" w:hAnsi="Times New Roman" w:cs="Times New Roman"/>
          <w:sz w:val="24"/>
        </w:rPr>
        <w:t>am.  Congress has not yet reauthorized the new design.  The withdrawal</w:t>
      </w:r>
      <w:r w:rsidR="00265643">
        <w:rPr>
          <w:rFonts w:ascii="Times New Roman" w:eastAsia="Times New Roman" w:hAnsi="Times New Roman" w:cs="Times New Roman"/>
          <w:sz w:val="24"/>
        </w:rPr>
        <w:t xml:space="preserve"> provides</w:t>
      </w:r>
      <w:r>
        <w:rPr>
          <w:rFonts w:ascii="Times New Roman" w:eastAsia="Times New Roman" w:hAnsi="Times New Roman" w:cs="Times New Roman"/>
          <w:sz w:val="24"/>
        </w:rPr>
        <w:t xml:space="preserve"> protection of lands associated with the Auburn Dam and Reservoir Site from </w:t>
      </w:r>
      <w:r w:rsidR="00265643">
        <w:rPr>
          <w:rFonts w:ascii="Times New Roman" w:eastAsia="Times New Roman" w:hAnsi="Times New Roman" w:cs="Times New Roman"/>
          <w:sz w:val="24"/>
        </w:rPr>
        <w:t xml:space="preserve">location and entry under the United States </w:t>
      </w:r>
      <w:r>
        <w:rPr>
          <w:rFonts w:ascii="Times New Roman" w:eastAsia="Times New Roman" w:hAnsi="Times New Roman" w:cs="Times New Roman"/>
          <w:sz w:val="24"/>
        </w:rPr>
        <w:t xml:space="preserve">mining </w:t>
      </w:r>
      <w:r w:rsidR="00265643">
        <w:rPr>
          <w:rFonts w:ascii="Times New Roman" w:eastAsia="Times New Roman" w:hAnsi="Times New Roman" w:cs="Times New Roman"/>
          <w:sz w:val="24"/>
        </w:rPr>
        <w:t xml:space="preserve">laws </w:t>
      </w:r>
      <w:r>
        <w:rPr>
          <w:rFonts w:ascii="Times New Roman" w:eastAsia="Times New Roman" w:hAnsi="Times New Roman" w:cs="Times New Roman"/>
          <w:sz w:val="24"/>
        </w:rPr>
        <w:t xml:space="preserve">while </w:t>
      </w:r>
      <w:r w:rsidR="00265643">
        <w:rPr>
          <w:rFonts w:ascii="Times New Roman" w:eastAsia="Times New Roman" w:hAnsi="Times New Roman" w:cs="Times New Roman"/>
          <w:sz w:val="24"/>
        </w:rPr>
        <w:t xml:space="preserve">the dam and reservoir design changes are being considered by </w:t>
      </w:r>
      <w:r>
        <w:rPr>
          <w:rFonts w:ascii="Times New Roman" w:eastAsia="Times New Roman" w:hAnsi="Times New Roman" w:cs="Times New Roman"/>
          <w:sz w:val="24"/>
        </w:rPr>
        <w:t>Congress.</w:t>
      </w:r>
    </w:p>
    <w:p w:rsidR="000C5087" w:rsidRDefault="000C5087" w:rsidP="0057169E">
      <w:pPr>
        <w:spacing w:after="0" w:line="240" w:lineRule="auto"/>
        <w:contextualSpacing/>
      </w:pPr>
    </w:p>
    <w:p w:rsidR="000C5087" w:rsidRDefault="00E95FC0" w:rsidP="0057169E">
      <w:pPr>
        <w:spacing w:after="0" w:line="240" w:lineRule="auto"/>
        <w:contextualSpacing/>
      </w:pPr>
      <w:r>
        <w:rPr>
          <w:rFonts w:ascii="Times New Roman" w:eastAsia="Times New Roman" w:hAnsi="Times New Roman" w:cs="Times New Roman"/>
          <w:sz w:val="24"/>
        </w:rPr>
        <w:t xml:space="preserve">In September 1990 the BLM completed the American River National Recreation Area Feasibility Study.  The North and Middle Fork of the American River were within the study area.  The study was to determine the feasibility and desirability of designating a National Recreation Area (NRA) within the American River watershed in association with a flood control or multipurpose dam located at the site of the Auburn Dam.  The study recommends that once Congress resolves the issue of the dam, then Federal, </w:t>
      </w:r>
      <w:r w:rsidR="00265643">
        <w:rPr>
          <w:rFonts w:ascii="Times New Roman" w:eastAsia="Times New Roman" w:hAnsi="Times New Roman" w:cs="Times New Roman"/>
          <w:sz w:val="24"/>
        </w:rPr>
        <w:t>S</w:t>
      </w:r>
      <w:r>
        <w:rPr>
          <w:rFonts w:ascii="Times New Roman" w:eastAsia="Times New Roman" w:hAnsi="Times New Roman" w:cs="Times New Roman"/>
          <w:sz w:val="24"/>
        </w:rPr>
        <w:t>tate</w:t>
      </w:r>
      <w:r w:rsidR="00265643">
        <w:rPr>
          <w:rFonts w:ascii="Times New Roman" w:eastAsia="Times New Roman" w:hAnsi="Times New Roman" w:cs="Times New Roman"/>
          <w:sz w:val="24"/>
        </w:rPr>
        <w:t>,</w:t>
      </w:r>
      <w:r>
        <w:rPr>
          <w:rFonts w:ascii="Times New Roman" w:eastAsia="Times New Roman" w:hAnsi="Times New Roman" w:cs="Times New Roman"/>
          <w:sz w:val="24"/>
        </w:rPr>
        <w:t xml:space="preserve"> and local agencies and groups should work to reach a decision on the recreation</w:t>
      </w:r>
      <w:r w:rsidR="00265643">
        <w:rPr>
          <w:rFonts w:ascii="Times New Roman" w:eastAsia="Times New Roman" w:hAnsi="Times New Roman" w:cs="Times New Roman"/>
          <w:sz w:val="24"/>
        </w:rPr>
        <w:t>al use in the</w:t>
      </w:r>
      <w:r>
        <w:rPr>
          <w:rFonts w:ascii="Times New Roman" w:eastAsia="Times New Roman" w:hAnsi="Times New Roman" w:cs="Times New Roman"/>
          <w:sz w:val="24"/>
        </w:rPr>
        <w:t xml:space="preserve"> area.  The purpose of this withdrawal is to protect the area from </w:t>
      </w:r>
      <w:r w:rsidR="00265643">
        <w:rPr>
          <w:rFonts w:ascii="Times New Roman" w:eastAsia="Times New Roman" w:hAnsi="Times New Roman" w:cs="Times New Roman"/>
          <w:sz w:val="24"/>
        </w:rPr>
        <w:t>location and entry under the United States mining laws</w:t>
      </w:r>
      <w:r>
        <w:rPr>
          <w:rFonts w:ascii="Times New Roman" w:eastAsia="Times New Roman" w:hAnsi="Times New Roman" w:cs="Times New Roman"/>
          <w:sz w:val="24"/>
        </w:rPr>
        <w:t xml:space="preserve"> while providing time to further study the American River NRA.</w:t>
      </w:r>
    </w:p>
    <w:p w:rsidR="000C5087" w:rsidRDefault="000C5087" w:rsidP="0057169E">
      <w:pPr>
        <w:spacing w:after="0" w:line="240" w:lineRule="auto"/>
        <w:contextualSpacing/>
      </w:pPr>
    </w:p>
    <w:p w:rsidR="000C5087" w:rsidRDefault="00E95FC0" w:rsidP="0057169E">
      <w:pPr>
        <w:tabs>
          <w:tab w:val="left" w:pos="360"/>
        </w:tabs>
        <w:spacing w:after="0" w:line="240" w:lineRule="auto"/>
        <w:contextualSpacing/>
      </w:pPr>
      <w:r>
        <w:rPr>
          <w:rFonts w:ascii="Times New Roman" w:eastAsia="Times New Roman" w:hAnsi="Times New Roman" w:cs="Times New Roman"/>
          <w:sz w:val="24"/>
        </w:rPr>
        <w:t>The North and Middle Fork of the American River are within the designated Auburn State Recreation Area.  These segments of river have an abundance of outstanding natural and cultural features and offer a wide variety of recreational opportunities.  California Department of Parks and Recreation manages lands acquired by the Bureau of Reclamation under an interim agreement initiated in 1977 and continued in 1980 by Memorandum of Understanding.</w:t>
      </w:r>
    </w:p>
    <w:p w:rsidR="000C5087" w:rsidRDefault="000C5087" w:rsidP="0057169E">
      <w:pPr>
        <w:spacing w:after="0" w:line="240" w:lineRule="auto"/>
        <w:contextualSpacing/>
      </w:pPr>
    </w:p>
    <w:p w:rsidR="000C5087" w:rsidRDefault="00E95FC0" w:rsidP="0057169E">
      <w:pPr>
        <w:tabs>
          <w:tab w:val="left" w:pos="1800"/>
        </w:tabs>
        <w:spacing w:line="240" w:lineRule="auto"/>
        <w:contextualSpacing/>
      </w:pPr>
      <w:r>
        <w:rPr>
          <w:rFonts w:ascii="Times New Roman" w:eastAsia="Times New Roman" w:hAnsi="Times New Roman" w:cs="Times New Roman"/>
          <w:b/>
          <w:i/>
          <w:sz w:val="24"/>
          <w:u w:val="single"/>
        </w:rPr>
        <w:t>ITEM 2</w:t>
      </w:r>
      <w:r>
        <w:rPr>
          <w:rFonts w:ascii="Times New Roman" w:eastAsia="Times New Roman" w:hAnsi="Times New Roman" w:cs="Times New Roman"/>
          <w:b/>
          <w:i/>
          <w:sz w:val="24"/>
        </w:rPr>
        <w:t xml:space="preserve"> </w:t>
      </w:r>
      <w:r w:rsidR="006E12E9">
        <w:rPr>
          <w:rFonts w:ascii="Times New Roman" w:eastAsia="Times New Roman" w:hAnsi="Times New Roman" w:cs="Times New Roman"/>
          <w:b/>
          <w:i/>
          <w:sz w:val="24"/>
        </w:rPr>
        <w:t xml:space="preserve"> </w:t>
      </w:r>
      <w:r>
        <w:rPr>
          <w:rFonts w:ascii="Times New Roman" w:eastAsia="Times New Roman" w:hAnsi="Times New Roman" w:cs="Times New Roman"/>
          <w:b/>
          <w:i/>
          <w:sz w:val="24"/>
        </w:rPr>
        <w:t>An inventory and evaluation of the current natural resou</w:t>
      </w:r>
      <w:r w:rsidR="00265643">
        <w:rPr>
          <w:rFonts w:ascii="Times New Roman" w:eastAsia="Times New Roman" w:hAnsi="Times New Roman" w:cs="Times New Roman"/>
          <w:b/>
          <w:i/>
          <w:sz w:val="24"/>
        </w:rPr>
        <w:t>rces uses and how they will be a</w:t>
      </w:r>
      <w:r>
        <w:rPr>
          <w:rFonts w:ascii="Times New Roman" w:eastAsia="Times New Roman" w:hAnsi="Times New Roman" w:cs="Times New Roman"/>
          <w:b/>
          <w:i/>
          <w:sz w:val="24"/>
        </w:rPr>
        <w:t xml:space="preserve">ffected by the </w:t>
      </w:r>
      <w:r w:rsidR="006E12E9">
        <w:rPr>
          <w:rFonts w:ascii="Times New Roman" w:eastAsia="Times New Roman" w:hAnsi="Times New Roman" w:cs="Times New Roman"/>
          <w:b/>
          <w:i/>
          <w:sz w:val="24"/>
        </w:rPr>
        <w:t>withdrawal</w:t>
      </w:r>
      <w:r>
        <w:rPr>
          <w:rFonts w:ascii="Times New Roman" w:eastAsia="Times New Roman" w:hAnsi="Times New Roman" w:cs="Times New Roman"/>
          <w:b/>
          <w:i/>
          <w:sz w:val="24"/>
        </w:rPr>
        <w:t>.</w:t>
      </w:r>
    </w:p>
    <w:p w:rsidR="0057169E" w:rsidRDefault="0057169E" w:rsidP="0057169E">
      <w:pPr>
        <w:tabs>
          <w:tab w:val="left" w:pos="1800"/>
        </w:tabs>
        <w:spacing w:line="240" w:lineRule="auto"/>
        <w:contextualSpacing/>
        <w:rPr>
          <w:rFonts w:ascii="Times New Roman" w:eastAsia="Times New Roman" w:hAnsi="Times New Roman" w:cs="Times New Roman"/>
          <w:sz w:val="24"/>
        </w:rPr>
      </w:pPr>
    </w:p>
    <w:p w:rsidR="000C5087" w:rsidRDefault="00E95FC0" w:rsidP="0057169E">
      <w:pPr>
        <w:tabs>
          <w:tab w:val="left" w:pos="1800"/>
        </w:tabs>
        <w:spacing w:line="240" w:lineRule="auto"/>
        <w:contextualSpacing/>
      </w:pPr>
      <w:r>
        <w:rPr>
          <w:rFonts w:ascii="Times New Roman" w:eastAsia="Times New Roman" w:hAnsi="Times New Roman" w:cs="Times New Roman"/>
          <w:sz w:val="24"/>
        </w:rPr>
        <w:t>Much of the subject area has been inventoried for cultural resources.  The largest single effort was made by archaeologist</w:t>
      </w:r>
      <w:r w:rsidR="006E12E9">
        <w:rPr>
          <w:rFonts w:ascii="Times New Roman" w:eastAsia="Times New Roman" w:hAnsi="Times New Roman" w:cs="Times New Roman"/>
          <w:sz w:val="24"/>
        </w:rPr>
        <w:t>s</w:t>
      </w:r>
      <w:r>
        <w:rPr>
          <w:rFonts w:ascii="Times New Roman" w:eastAsia="Times New Roman" w:hAnsi="Times New Roman" w:cs="Times New Roman"/>
          <w:sz w:val="24"/>
        </w:rPr>
        <w:t xml:space="preserve"> during the 1960s and 1970s for the Auburn Dam Project.  The inventory effort is documented in a series of reports on file at the North Central Information -Center and at California State University Sacramento and the Bureau of Reclamation’s Mid-Pacific Region Office. </w:t>
      </w:r>
    </w:p>
    <w:p w:rsidR="0057169E" w:rsidRDefault="0057169E" w:rsidP="0057169E">
      <w:pPr>
        <w:tabs>
          <w:tab w:val="left" w:pos="1800"/>
        </w:tabs>
        <w:spacing w:line="240" w:lineRule="auto"/>
        <w:contextualSpacing/>
        <w:rPr>
          <w:rFonts w:ascii="Times New Roman" w:eastAsia="Times New Roman" w:hAnsi="Times New Roman" w:cs="Times New Roman"/>
          <w:sz w:val="24"/>
          <w:u w:val="single"/>
        </w:rPr>
      </w:pPr>
    </w:p>
    <w:p w:rsidR="000C5087" w:rsidRDefault="00E95FC0" w:rsidP="0057169E">
      <w:pPr>
        <w:tabs>
          <w:tab w:val="left" w:pos="1800"/>
        </w:tabs>
        <w:spacing w:line="240" w:lineRule="auto"/>
        <w:contextualSpacing/>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Energy and Minerals</w:t>
      </w:r>
    </w:p>
    <w:p w:rsidR="006E12E9" w:rsidRDefault="006E12E9" w:rsidP="0057169E">
      <w:pPr>
        <w:tabs>
          <w:tab w:val="left" w:pos="1800"/>
        </w:tabs>
        <w:spacing w:line="240" w:lineRule="auto"/>
        <w:contextualSpacing/>
      </w:pPr>
    </w:p>
    <w:p w:rsidR="000C5087" w:rsidRDefault="00E95FC0" w:rsidP="0057169E">
      <w:pPr>
        <w:tabs>
          <w:tab w:val="left" w:pos="360"/>
        </w:tabs>
        <w:spacing w:after="0" w:line="240" w:lineRule="auto"/>
        <w:contextualSpacing/>
      </w:pPr>
      <w:r>
        <w:rPr>
          <w:rFonts w:ascii="Times New Roman" w:eastAsia="Times New Roman" w:hAnsi="Times New Roman" w:cs="Times New Roman"/>
          <w:sz w:val="24"/>
        </w:rPr>
        <w:t>A mineral report was prepared on May 28, 2014.  The subject lands have low to no potential for the development of mineral resources.  No deposit</w:t>
      </w:r>
      <w:r w:rsidR="00265643">
        <w:rPr>
          <w:rFonts w:ascii="Times New Roman" w:eastAsia="Times New Roman" w:hAnsi="Times New Roman" w:cs="Times New Roman"/>
          <w:sz w:val="24"/>
        </w:rPr>
        <w:t>s</w:t>
      </w:r>
      <w:r>
        <w:rPr>
          <w:rFonts w:ascii="Times New Roman" w:eastAsia="Times New Roman" w:hAnsi="Times New Roman" w:cs="Times New Roman"/>
          <w:sz w:val="24"/>
        </w:rPr>
        <w:t xml:space="preserve"> of mineral materials suitable for commercial or private use are known to occur on the subject lands.</w:t>
      </w:r>
    </w:p>
    <w:p w:rsidR="000C5087" w:rsidRDefault="000C5087" w:rsidP="0057169E">
      <w:pPr>
        <w:tabs>
          <w:tab w:val="left" w:pos="0"/>
        </w:tabs>
        <w:spacing w:after="0" w:line="240" w:lineRule="auto"/>
        <w:contextualSpacing/>
      </w:pPr>
    </w:p>
    <w:p w:rsidR="000C5087" w:rsidRDefault="006E12E9" w:rsidP="0057169E">
      <w:pPr>
        <w:tabs>
          <w:tab w:val="left" w:pos="1800"/>
        </w:tabs>
        <w:spacing w:line="240" w:lineRule="auto"/>
        <w:contextualSpacing/>
      </w:pPr>
      <w:r>
        <w:rPr>
          <w:rFonts w:ascii="Times New Roman" w:eastAsia="Times New Roman" w:hAnsi="Times New Roman" w:cs="Times New Roman"/>
          <w:sz w:val="24"/>
          <w:u w:val="single"/>
        </w:rPr>
        <w:t>Recreation Resources</w:t>
      </w:r>
    </w:p>
    <w:p w:rsidR="006E12E9" w:rsidRDefault="006E12E9" w:rsidP="0057169E">
      <w:pPr>
        <w:tabs>
          <w:tab w:val="left" w:pos="360"/>
        </w:tabs>
        <w:spacing w:after="0" w:line="240" w:lineRule="auto"/>
        <w:contextualSpacing/>
        <w:rPr>
          <w:rFonts w:ascii="Times New Roman" w:eastAsia="Times New Roman" w:hAnsi="Times New Roman" w:cs="Times New Roman"/>
          <w:sz w:val="24"/>
        </w:rPr>
      </w:pPr>
    </w:p>
    <w:p w:rsidR="000C5087" w:rsidRDefault="00E95FC0" w:rsidP="0057169E">
      <w:pPr>
        <w:tabs>
          <w:tab w:val="left" w:pos="360"/>
        </w:tabs>
        <w:spacing w:after="0" w:line="240" w:lineRule="auto"/>
        <w:contextualSpacing/>
      </w:pPr>
      <w:r>
        <w:rPr>
          <w:rFonts w:ascii="Times New Roman" w:eastAsia="Times New Roman" w:hAnsi="Times New Roman" w:cs="Times New Roman"/>
          <w:sz w:val="24"/>
        </w:rPr>
        <w:t xml:space="preserve">The North and Middle Fork of the American River are within the designated Auburn State Recreation Area.  These segments of river have an abundance of outstanding natural and cultural features and offer a wide variety of recreational opportunities. The Middle and North </w:t>
      </w:r>
      <w:r w:rsidR="006E12E9">
        <w:rPr>
          <w:rFonts w:ascii="Times New Roman" w:eastAsia="Times New Roman" w:hAnsi="Times New Roman" w:cs="Times New Roman"/>
          <w:sz w:val="24"/>
        </w:rPr>
        <w:t>F</w:t>
      </w:r>
      <w:r>
        <w:rPr>
          <w:rFonts w:ascii="Times New Roman" w:eastAsia="Times New Roman" w:hAnsi="Times New Roman" w:cs="Times New Roman"/>
          <w:sz w:val="24"/>
        </w:rPr>
        <w:t>ork of the American River are very popular with recreationists.  Recreation opportunities include hiking, boating, swimming, white water rafting</w:t>
      </w:r>
      <w:r w:rsidR="006E12E9">
        <w:rPr>
          <w:rFonts w:ascii="Times New Roman" w:eastAsia="Times New Roman" w:hAnsi="Times New Roman" w:cs="Times New Roman"/>
          <w:sz w:val="24"/>
        </w:rPr>
        <w:t>,</w:t>
      </w:r>
      <w:r>
        <w:rPr>
          <w:rFonts w:ascii="Times New Roman" w:eastAsia="Times New Roman" w:hAnsi="Times New Roman" w:cs="Times New Roman"/>
          <w:sz w:val="24"/>
        </w:rPr>
        <w:t xml:space="preserve"> and picnicking.</w:t>
      </w:r>
    </w:p>
    <w:p w:rsidR="000C5087" w:rsidRDefault="000C5087" w:rsidP="0057169E">
      <w:pPr>
        <w:tabs>
          <w:tab w:val="left" w:pos="360"/>
        </w:tabs>
        <w:spacing w:after="0" w:line="240" w:lineRule="auto"/>
        <w:contextualSpacing/>
      </w:pPr>
    </w:p>
    <w:p w:rsidR="000C5087" w:rsidRDefault="006E12E9" w:rsidP="0057169E">
      <w:pPr>
        <w:tabs>
          <w:tab w:val="left" w:pos="360"/>
        </w:tabs>
        <w:spacing w:after="0" w:line="240" w:lineRule="auto"/>
        <w:contextualSpacing/>
      </w:pPr>
      <w:r>
        <w:rPr>
          <w:rFonts w:ascii="Times New Roman" w:eastAsia="Times New Roman" w:hAnsi="Times New Roman" w:cs="Times New Roman"/>
          <w:sz w:val="24"/>
        </w:rPr>
        <w:t xml:space="preserve">The </w:t>
      </w:r>
      <w:r w:rsidR="00E95FC0">
        <w:rPr>
          <w:rFonts w:ascii="Times New Roman" w:eastAsia="Times New Roman" w:hAnsi="Times New Roman" w:cs="Times New Roman"/>
          <w:sz w:val="24"/>
        </w:rPr>
        <w:t xml:space="preserve">California Department of Parks and Recreation manages some </w:t>
      </w:r>
      <w:r>
        <w:rPr>
          <w:rFonts w:ascii="Times New Roman" w:eastAsia="Times New Roman" w:hAnsi="Times New Roman" w:cs="Times New Roman"/>
          <w:sz w:val="24"/>
        </w:rPr>
        <w:t xml:space="preserve">of the </w:t>
      </w:r>
      <w:r w:rsidR="00E95FC0">
        <w:rPr>
          <w:rFonts w:ascii="Times New Roman" w:eastAsia="Times New Roman" w:hAnsi="Times New Roman" w:cs="Times New Roman"/>
          <w:sz w:val="24"/>
        </w:rPr>
        <w:t>BLM lands and lands acquired by the Bureau of Reclamation under an interim agreement initiated in 1977 and continued in 1980 by Memorandum of Understanding.</w:t>
      </w:r>
    </w:p>
    <w:p w:rsidR="000C5087" w:rsidRDefault="000C5087" w:rsidP="0057169E">
      <w:pPr>
        <w:spacing w:after="0" w:line="240" w:lineRule="auto"/>
        <w:contextualSpacing/>
      </w:pPr>
    </w:p>
    <w:p w:rsidR="000C5087" w:rsidRDefault="00E95FC0" w:rsidP="0057169E">
      <w:pPr>
        <w:tabs>
          <w:tab w:val="left" w:pos="1800"/>
        </w:tabs>
        <w:spacing w:line="240" w:lineRule="auto"/>
        <w:contextualSpacing/>
        <w:rPr>
          <w:rFonts w:ascii="Times New Roman" w:eastAsia="Times New Roman" w:hAnsi="Times New Roman" w:cs="Times New Roman"/>
          <w:sz w:val="24"/>
          <w:u w:val="single"/>
        </w:rPr>
      </w:pPr>
      <w:r>
        <w:rPr>
          <w:rFonts w:ascii="Times New Roman" w:eastAsia="Times New Roman" w:hAnsi="Times New Roman" w:cs="Times New Roman"/>
          <w:sz w:val="24"/>
          <w:u w:val="single"/>
        </w:rPr>
        <w:t>Public Health and Safety</w:t>
      </w:r>
    </w:p>
    <w:p w:rsidR="006E12E9" w:rsidRDefault="006E12E9" w:rsidP="0057169E">
      <w:pPr>
        <w:tabs>
          <w:tab w:val="left" w:pos="1800"/>
        </w:tabs>
        <w:spacing w:line="240" w:lineRule="auto"/>
        <w:contextualSpacing/>
      </w:pPr>
    </w:p>
    <w:p w:rsidR="000C5087" w:rsidRDefault="00E95FC0" w:rsidP="0057169E">
      <w:pPr>
        <w:tabs>
          <w:tab w:val="left" w:pos="1800"/>
        </w:tabs>
        <w:spacing w:line="240" w:lineRule="auto"/>
        <w:contextualSpacing/>
      </w:pPr>
      <w:r>
        <w:rPr>
          <w:rFonts w:ascii="Times New Roman" w:eastAsia="Times New Roman" w:hAnsi="Times New Roman" w:cs="Times New Roman"/>
          <w:sz w:val="24"/>
        </w:rPr>
        <w:t xml:space="preserve">The following critical elements have been considered and have been determined to be unaffected by the </w:t>
      </w:r>
      <w:r w:rsidR="006E12E9">
        <w:rPr>
          <w:rFonts w:ascii="Times New Roman" w:eastAsia="Times New Roman" w:hAnsi="Times New Roman" w:cs="Times New Roman"/>
          <w:sz w:val="24"/>
        </w:rPr>
        <w:t>withdrawal</w:t>
      </w:r>
      <w:r>
        <w:rPr>
          <w:rFonts w:ascii="Times New Roman" w:eastAsia="Times New Roman" w:hAnsi="Times New Roman" w:cs="Times New Roman"/>
          <w:sz w:val="24"/>
        </w:rPr>
        <w:t>:  air quality, areas of critical environmental concern, prime/unique farmlands, floodplains, wild and scenic rivers, wilderness, invasive, nonnative weeds, and environmental justice.</w:t>
      </w:r>
    </w:p>
    <w:p w:rsidR="0057169E" w:rsidRDefault="0057169E" w:rsidP="0057169E">
      <w:pPr>
        <w:tabs>
          <w:tab w:val="left" w:pos="1800"/>
        </w:tabs>
        <w:spacing w:line="240" w:lineRule="auto"/>
        <w:contextualSpacing/>
        <w:rPr>
          <w:rFonts w:ascii="Times New Roman" w:eastAsia="Times New Roman" w:hAnsi="Times New Roman" w:cs="Times New Roman"/>
          <w:sz w:val="24"/>
          <w:u w:val="single"/>
        </w:rPr>
      </w:pPr>
    </w:p>
    <w:p w:rsidR="000C5087" w:rsidRDefault="00E95FC0" w:rsidP="0057169E">
      <w:pPr>
        <w:tabs>
          <w:tab w:val="left" w:pos="1800"/>
        </w:tabs>
        <w:spacing w:line="240" w:lineRule="auto"/>
        <w:contextualSpacing/>
      </w:pPr>
      <w:r>
        <w:rPr>
          <w:rFonts w:ascii="Times New Roman" w:eastAsia="Times New Roman" w:hAnsi="Times New Roman" w:cs="Times New Roman"/>
          <w:sz w:val="24"/>
          <w:u w:val="single"/>
        </w:rPr>
        <w:t>Water Quality</w:t>
      </w:r>
    </w:p>
    <w:p w:rsidR="006E12E9" w:rsidRDefault="006E12E9" w:rsidP="0057169E">
      <w:pPr>
        <w:tabs>
          <w:tab w:val="left" w:pos="1800"/>
        </w:tabs>
        <w:spacing w:line="240" w:lineRule="auto"/>
        <w:contextualSpacing/>
        <w:rPr>
          <w:rFonts w:ascii="Times New Roman" w:eastAsia="Times New Roman" w:hAnsi="Times New Roman" w:cs="Times New Roman"/>
          <w:sz w:val="24"/>
        </w:rPr>
      </w:pPr>
    </w:p>
    <w:p w:rsidR="000C5087" w:rsidRDefault="00E95FC0" w:rsidP="0057169E">
      <w:pPr>
        <w:tabs>
          <w:tab w:val="left" w:pos="1800"/>
        </w:tabs>
        <w:spacing w:line="240" w:lineRule="auto"/>
        <w:contextualSpacing/>
      </w:pPr>
      <w:r>
        <w:rPr>
          <w:rFonts w:ascii="Times New Roman" w:eastAsia="Times New Roman" w:hAnsi="Times New Roman" w:cs="Times New Roman"/>
          <w:sz w:val="24"/>
        </w:rPr>
        <w:t>The Middle and North Fork of the American River are major waterways in the west central Sierra Nevada flowing west from the crest to where they join the South Fork in Folsom Lake.  The lower American River then travels down to the lower Sacramento Valley and into the Sacramento River which flows into San Francisco Bay.  The importance of water quality is evident in the American River watershed.  Placer and El Dorado County and the Sacramento metropolitan area rely on the American River water for agricultur</w:t>
      </w:r>
      <w:r w:rsidR="006E12E9">
        <w:rPr>
          <w:rFonts w:ascii="Times New Roman" w:eastAsia="Times New Roman" w:hAnsi="Times New Roman" w:cs="Times New Roman"/>
          <w:sz w:val="24"/>
        </w:rPr>
        <w:t>al and municipal purposes.</w:t>
      </w:r>
    </w:p>
    <w:p w:rsidR="0057169E" w:rsidRDefault="0057169E" w:rsidP="0057169E">
      <w:pPr>
        <w:tabs>
          <w:tab w:val="left" w:pos="1800"/>
        </w:tabs>
        <w:spacing w:line="240" w:lineRule="auto"/>
        <w:contextualSpacing/>
        <w:rPr>
          <w:rFonts w:ascii="Times New Roman" w:eastAsia="Times New Roman" w:hAnsi="Times New Roman" w:cs="Times New Roman"/>
          <w:sz w:val="24"/>
          <w:u w:val="single"/>
        </w:rPr>
      </w:pPr>
    </w:p>
    <w:p w:rsidR="000C5087" w:rsidRDefault="00E95FC0" w:rsidP="0057169E">
      <w:pPr>
        <w:tabs>
          <w:tab w:val="left" w:pos="1800"/>
        </w:tabs>
        <w:spacing w:line="240" w:lineRule="auto"/>
        <w:contextualSpacing/>
      </w:pPr>
      <w:r>
        <w:rPr>
          <w:rFonts w:ascii="Times New Roman" w:eastAsia="Times New Roman" w:hAnsi="Times New Roman" w:cs="Times New Roman"/>
          <w:sz w:val="24"/>
          <w:u w:val="single"/>
        </w:rPr>
        <w:t>Special Status Species Habitat</w:t>
      </w:r>
    </w:p>
    <w:p w:rsidR="006E12E9" w:rsidRDefault="006E12E9" w:rsidP="0057169E">
      <w:pPr>
        <w:tabs>
          <w:tab w:val="left" w:pos="1800"/>
        </w:tabs>
        <w:spacing w:line="240" w:lineRule="auto"/>
        <w:contextualSpacing/>
        <w:rPr>
          <w:rFonts w:ascii="Times New Roman" w:eastAsia="Times New Roman" w:hAnsi="Times New Roman" w:cs="Times New Roman"/>
          <w:sz w:val="24"/>
        </w:rPr>
      </w:pPr>
    </w:p>
    <w:p w:rsidR="000C5087" w:rsidRDefault="00E95FC0" w:rsidP="0057169E">
      <w:pPr>
        <w:tabs>
          <w:tab w:val="left" w:pos="1800"/>
        </w:tabs>
        <w:spacing w:line="240" w:lineRule="auto"/>
        <w:contextualSpacing/>
      </w:pPr>
      <w:r>
        <w:rPr>
          <w:rFonts w:ascii="Times New Roman" w:eastAsia="Times New Roman" w:hAnsi="Times New Roman" w:cs="Times New Roman"/>
          <w:sz w:val="24"/>
        </w:rPr>
        <w:t xml:space="preserve">The impacts of the </w:t>
      </w:r>
      <w:r w:rsidR="006E12E9">
        <w:rPr>
          <w:rFonts w:ascii="Times New Roman" w:eastAsia="Times New Roman" w:hAnsi="Times New Roman" w:cs="Times New Roman"/>
          <w:sz w:val="24"/>
        </w:rPr>
        <w:t>withdrawal</w:t>
      </w:r>
      <w:r>
        <w:rPr>
          <w:rFonts w:ascii="Times New Roman" w:eastAsia="Times New Roman" w:hAnsi="Times New Roman" w:cs="Times New Roman"/>
          <w:sz w:val="24"/>
        </w:rPr>
        <w:t xml:space="preserve"> would be beneficial.  The </w:t>
      </w:r>
      <w:r w:rsidR="00D17F05">
        <w:rPr>
          <w:rFonts w:ascii="Times New Roman" w:eastAsia="Times New Roman" w:hAnsi="Times New Roman" w:cs="Times New Roman"/>
          <w:sz w:val="24"/>
        </w:rPr>
        <w:t>withdrawal</w:t>
      </w:r>
      <w:r>
        <w:rPr>
          <w:rFonts w:ascii="Times New Roman" w:eastAsia="Times New Roman" w:hAnsi="Times New Roman" w:cs="Times New Roman"/>
          <w:sz w:val="24"/>
        </w:rPr>
        <w:t xml:space="preserve"> would allow soils and vegetation to remain in their present productive state where no mining claims exist.</w:t>
      </w:r>
    </w:p>
    <w:p w:rsidR="0057169E" w:rsidRDefault="0057169E" w:rsidP="0057169E">
      <w:pPr>
        <w:tabs>
          <w:tab w:val="left" w:pos="1800"/>
        </w:tabs>
        <w:spacing w:line="240" w:lineRule="auto"/>
        <w:contextualSpacing/>
        <w:rPr>
          <w:rFonts w:ascii="Times New Roman" w:eastAsia="Times New Roman" w:hAnsi="Times New Roman" w:cs="Times New Roman"/>
          <w:b/>
          <w:i/>
          <w:sz w:val="24"/>
          <w:u w:val="single"/>
        </w:rPr>
      </w:pPr>
    </w:p>
    <w:p w:rsidR="000C5087" w:rsidRDefault="00E95FC0" w:rsidP="0057169E">
      <w:pPr>
        <w:tabs>
          <w:tab w:val="left" w:pos="1800"/>
        </w:tabs>
        <w:spacing w:line="240" w:lineRule="auto"/>
        <w:contextualSpacing/>
      </w:pPr>
      <w:r>
        <w:rPr>
          <w:rFonts w:ascii="Times New Roman" w:eastAsia="Times New Roman" w:hAnsi="Times New Roman" w:cs="Times New Roman"/>
          <w:b/>
          <w:i/>
          <w:sz w:val="24"/>
          <w:u w:val="single"/>
        </w:rPr>
        <w:t>ITEM 3</w:t>
      </w:r>
      <w:r w:rsidR="008B7537">
        <w:rPr>
          <w:rFonts w:ascii="Times New Roman" w:eastAsia="Times New Roman" w:hAnsi="Times New Roman" w:cs="Times New Roman"/>
          <w:b/>
          <w:i/>
          <w:sz w:val="24"/>
        </w:rPr>
        <w:t xml:space="preserve"> </w:t>
      </w:r>
      <w:r w:rsidR="006E12E9">
        <w:rPr>
          <w:rFonts w:ascii="Times New Roman" w:eastAsia="Times New Roman" w:hAnsi="Times New Roman" w:cs="Times New Roman"/>
          <w:b/>
          <w:i/>
          <w:sz w:val="24"/>
        </w:rPr>
        <w:t xml:space="preserve"> </w:t>
      </w:r>
      <w:r>
        <w:rPr>
          <w:rFonts w:ascii="Times New Roman" w:eastAsia="Times New Roman" w:hAnsi="Times New Roman" w:cs="Times New Roman"/>
          <w:b/>
          <w:i/>
          <w:sz w:val="24"/>
        </w:rPr>
        <w:t>An identification of present users of the land involved, and how they will be affected by the proposed use.</w:t>
      </w:r>
    </w:p>
    <w:p w:rsidR="0057169E" w:rsidRDefault="0057169E" w:rsidP="0057169E">
      <w:pPr>
        <w:tabs>
          <w:tab w:val="left" w:pos="1800"/>
        </w:tabs>
        <w:spacing w:line="240" w:lineRule="auto"/>
        <w:contextualSpacing/>
        <w:rPr>
          <w:rFonts w:ascii="Times New Roman" w:eastAsia="Times New Roman" w:hAnsi="Times New Roman" w:cs="Times New Roman"/>
          <w:sz w:val="24"/>
          <w:u w:val="single"/>
        </w:rPr>
      </w:pPr>
    </w:p>
    <w:p w:rsidR="000C5087" w:rsidRDefault="00E95FC0" w:rsidP="0057169E">
      <w:pPr>
        <w:tabs>
          <w:tab w:val="left" w:pos="1800"/>
        </w:tabs>
        <w:spacing w:line="240" w:lineRule="auto"/>
        <w:contextualSpacing/>
      </w:pPr>
      <w:r>
        <w:rPr>
          <w:rFonts w:ascii="Times New Roman" w:eastAsia="Times New Roman" w:hAnsi="Times New Roman" w:cs="Times New Roman"/>
          <w:sz w:val="24"/>
          <w:u w:val="single"/>
        </w:rPr>
        <w:t>Energy and Minerals</w:t>
      </w:r>
    </w:p>
    <w:p w:rsidR="006E12E9" w:rsidRDefault="006E12E9" w:rsidP="0057169E">
      <w:pPr>
        <w:spacing w:line="240" w:lineRule="auto"/>
        <w:contextualSpacing/>
        <w:rPr>
          <w:rFonts w:ascii="Times New Roman" w:eastAsia="Times New Roman" w:hAnsi="Times New Roman" w:cs="Times New Roman"/>
          <w:sz w:val="24"/>
        </w:rPr>
      </w:pPr>
    </w:p>
    <w:p w:rsidR="000C5087" w:rsidRDefault="00E95FC0" w:rsidP="0057169E">
      <w:pPr>
        <w:spacing w:line="240" w:lineRule="auto"/>
        <w:contextualSpacing/>
      </w:pPr>
      <w:r>
        <w:rPr>
          <w:rFonts w:ascii="Times New Roman" w:eastAsia="Times New Roman" w:hAnsi="Times New Roman" w:cs="Times New Roman"/>
          <w:sz w:val="24"/>
        </w:rPr>
        <w:t xml:space="preserve">The subject lands have a moderate to high potential for the occurrence of gold and low to moderate potential for the occurrence of chromite and industrial grade limestone, but they have low to no mineral development potential.  With the exception of recreational, hobby scale </w:t>
      </w:r>
      <w:r>
        <w:rPr>
          <w:rFonts w:ascii="Times New Roman" w:eastAsia="Times New Roman" w:hAnsi="Times New Roman" w:cs="Times New Roman"/>
          <w:sz w:val="24"/>
        </w:rPr>
        <w:lastRenderedPageBreak/>
        <w:t xml:space="preserve">prospecting activities, there is no significant interest in these </w:t>
      </w:r>
      <w:r w:rsidR="006E12E9">
        <w:rPr>
          <w:rFonts w:ascii="Times New Roman" w:eastAsia="Times New Roman" w:hAnsi="Times New Roman" w:cs="Times New Roman"/>
          <w:sz w:val="24"/>
        </w:rPr>
        <w:t>mineral resources.  The</w:t>
      </w:r>
      <w:r>
        <w:rPr>
          <w:rFonts w:ascii="Times New Roman" w:eastAsia="Times New Roman" w:hAnsi="Times New Roman" w:cs="Times New Roman"/>
          <w:sz w:val="24"/>
        </w:rPr>
        <w:t xml:space="preserve"> withdrawal will not substantially interfere with mine</w:t>
      </w:r>
      <w:r w:rsidR="006E12E9">
        <w:rPr>
          <w:rFonts w:ascii="Times New Roman" w:eastAsia="Times New Roman" w:hAnsi="Times New Roman" w:cs="Times New Roman"/>
          <w:sz w:val="24"/>
        </w:rPr>
        <w:t>ral development opportunities.</w:t>
      </w:r>
    </w:p>
    <w:p w:rsidR="0057169E" w:rsidRDefault="0057169E" w:rsidP="0057169E">
      <w:pPr>
        <w:tabs>
          <w:tab w:val="left" w:pos="1800"/>
        </w:tabs>
        <w:spacing w:line="240" w:lineRule="auto"/>
        <w:contextualSpacing/>
        <w:rPr>
          <w:rFonts w:ascii="Times New Roman" w:eastAsia="Times New Roman" w:hAnsi="Times New Roman" w:cs="Times New Roman"/>
          <w:sz w:val="24"/>
          <w:u w:val="single"/>
        </w:rPr>
      </w:pPr>
    </w:p>
    <w:p w:rsidR="000C5087" w:rsidRDefault="00E95FC0" w:rsidP="0057169E">
      <w:pPr>
        <w:tabs>
          <w:tab w:val="left" w:pos="1800"/>
        </w:tabs>
        <w:spacing w:line="240" w:lineRule="auto"/>
        <w:contextualSpacing/>
      </w:pPr>
      <w:r>
        <w:rPr>
          <w:rFonts w:ascii="Times New Roman" w:eastAsia="Times New Roman" w:hAnsi="Times New Roman" w:cs="Times New Roman"/>
          <w:sz w:val="24"/>
          <w:u w:val="single"/>
        </w:rPr>
        <w:t>Recreation Resources</w:t>
      </w:r>
    </w:p>
    <w:p w:rsidR="006E12E9" w:rsidRDefault="006E12E9" w:rsidP="0057169E">
      <w:pPr>
        <w:spacing w:line="240" w:lineRule="auto"/>
        <w:contextualSpacing/>
        <w:rPr>
          <w:rFonts w:ascii="Times New Roman" w:eastAsia="Times New Roman" w:hAnsi="Times New Roman" w:cs="Times New Roman"/>
          <w:sz w:val="24"/>
        </w:rPr>
      </w:pPr>
    </w:p>
    <w:p w:rsidR="000C5087" w:rsidRDefault="00E95FC0" w:rsidP="0057169E">
      <w:pPr>
        <w:spacing w:line="240" w:lineRule="auto"/>
        <w:contextualSpacing/>
      </w:pPr>
      <w:r>
        <w:rPr>
          <w:rFonts w:ascii="Times New Roman" w:eastAsia="Times New Roman" w:hAnsi="Times New Roman" w:cs="Times New Roman"/>
          <w:sz w:val="24"/>
        </w:rPr>
        <w:t xml:space="preserve">The Middle and North </w:t>
      </w:r>
      <w:r w:rsidR="00D17F05">
        <w:rPr>
          <w:rFonts w:ascii="Times New Roman" w:eastAsia="Times New Roman" w:hAnsi="Times New Roman" w:cs="Times New Roman"/>
          <w:sz w:val="24"/>
        </w:rPr>
        <w:t>F</w:t>
      </w:r>
      <w:r>
        <w:rPr>
          <w:rFonts w:ascii="Times New Roman" w:eastAsia="Times New Roman" w:hAnsi="Times New Roman" w:cs="Times New Roman"/>
          <w:sz w:val="24"/>
        </w:rPr>
        <w:t>ork of the American River are major waterways in the west central Sierra Nevada flowing west from the crest to where they join the South F</w:t>
      </w:r>
      <w:r w:rsidR="00D17F05">
        <w:rPr>
          <w:rFonts w:ascii="Times New Roman" w:eastAsia="Times New Roman" w:hAnsi="Times New Roman" w:cs="Times New Roman"/>
          <w:sz w:val="24"/>
        </w:rPr>
        <w:t xml:space="preserve">ork in Folsom Lake. </w:t>
      </w:r>
      <w:r>
        <w:rPr>
          <w:rFonts w:ascii="Times New Roman" w:eastAsia="Times New Roman" w:hAnsi="Times New Roman" w:cs="Times New Roman"/>
          <w:sz w:val="24"/>
        </w:rPr>
        <w:t xml:space="preserve"> The Middle and North </w:t>
      </w:r>
      <w:r w:rsidR="00D17F05">
        <w:rPr>
          <w:rFonts w:ascii="Times New Roman" w:eastAsia="Times New Roman" w:hAnsi="Times New Roman" w:cs="Times New Roman"/>
          <w:sz w:val="24"/>
        </w:rPr>
        <w:t>F</w:t>
      </w:r>
      <w:r>
        <w:rPr>
          <w:rFonts w:ascii="Times New Roman" w:eastAsia="Times New Roman" w:hAnsi="Times New Roman" w:cs="Times New Roman"/>
          <w:sz w:val="24"/>
        </w:rPr>
        <w:t>ork of the American River are very popular with recreationists.  The American River has and will continue to be a highly used recreation area for hiking, picnicking, boating, swimming and white water rafting.</w:t>
      </w:r>
    </w:p>
    <w:p w:rsidR="0057169E" w:rsidRDefault="0057169E" w:rsidP="0057169E">
      <w:pPr>
        <w:tabs>
          <w:tab w:val="left" w:pos="1800"/>
        </w:tabs>
        <w:spacing w:line="240" w:lineRule="auto"/>
        <w:contextualSpacing/>
        <w:rPr>
          <w:rFonts w:ascii="Times New Roman" w:eastAsia="Times New Roman" w:hAnsi="Times New Roman" w:cs="Times New Roman"/>
          <w:sz w:val="24"/>
          <w:u w:val="single"/>
        </w:rPr>
      </w:pPr>
    </w:p>
    <w:p w:rsidR="000C5087" w:rsidRDefault="00E95FC0" w:rsidP="0057169E">
      <w:pPr>
        <w:tabs>
          <w:tab w:val="left" w:pos="1800"/>
        </w:tabs>
        <w:spacing w:line="240" w:lineRule="auto"/>
        <w:contextualSpacing/>
        <w:rPr>
          <w:rFonts w:ascii="Times New Roman" w:eastAsia="Times New Roman" w:hAnsi="Times New Roman" w:cs="Times New Roman"/>
          <w:sz w:val="24"/>
          <w:u w:val="single"/>
        </w:rPr>
      </w:pPr>
      <w:r>
        <w:rPr>
          <w:rFonts w:ascii="Times New Roman" w:eastAsia="Times New Roman" w:hAnsi="Times New Roman" w:cs="Times New Roman"/>
          <w:sz w:val="24"/>
          <w:u w:val="single"/>
        </w:rPr>
        <w:t>Water Quality</w:t>
      </w:r>
    </w:p>
    <w:p w:rsidR="00D17F05" w:rsidRDefault="00D17F05" w:rsidP="0057169E">
      <w:pPr>
        <w:tabs>
          <w:tab w:val="left" w:pos="1800"/>
        </w:tabs>
        <w:spacing w:line="240" w:lineRule="auto"/>
        <w:contextualSpacing/>
      </w:pPr>
    </w:p>
    <w:p w:rsidR="000C5087" w:rsidRDefault="00E95FC0" w:rsidP="0057169E">
      <w:pPr>
        <w:spacing w:line="240" w:lineRule="auto"/>
        <w:contextualSpacing/>
      </w:pPr>
      <w:r>
        <w:rPr>
          <w:rFonts w:ascii="Times New Roman" w:eastAsia="Times New Roman" w:hAnsi="Times New Roman" w:cs="Times New Roman"/>
          <w:sz w:val="24"/>
        </w:rPr>
        <w:t xml:space="preserve">The Middle and North </w:t>
      </w:r>
      <w:r w:rsidR="00D17F05">
        <w:rPr>
          <w:rFonts w:ascii="Times New Roman" w:eastAsia="Times New Roman" w:hAnsi="Times New Roman" w:cs="Times New Roman"/>
          <w:sz w:val="24"/>
        </w:rPr>
        <w:t>F</w:t>
      </w:r>
      <w:r>
        <w:rPr>
          <w:rFonts w:ascii="Times New Roman" w:eastAsia="Times New Roman" w:hAnsi="Times New Roman" w:cs="Times New Roman"/>
          <w:sz w:val="24"/>
        </w:rPr>
        <w:t xml:space="preserve">ork of the American River are major waterways in the west central Sierra Nevada flowing west from the crest to where they join the South Fork in Folsom Lake. The lower American River then travels down to the lower Sacramento Valley and into the Sacramento River which flows into San Francisco Bay. </w:t>
      </w:r>
      <w:r w:rsidR="00472D2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importance of water quality is evident in the American River watershed.  Placer and El Dorado County and the Sacramento metropolitan area rely on the American River water for agricultural and municipal purposes. </w:t>
      </w:r>
    </w:p>
    <w:p w:rsidR="000C5087" w:rsidRPr="00D17F05" w:rsidRDefault="00E95FC0" w:rsidP="0057169E">
      <w:pPr>
        <w:pStyle w:val="Heading2"/>
        <w:spacing w:line="240" w:lineRule="auto"/>
        <w:contextualSpacing/>
        <w:rPr>
          <w:b w:val="0"/>
        </w:rPr>
      </w:pPr>
      <w:r w:rsidRPr="00D17F05">
        <w:rPr>
          <w:b w:val="0"/>
          <w:u w:val="single"/>
        </w:rPr>
        <w:t>Vegetation</w:t>
      </w:r>
      <w:r w:rsidRPr="00D17F05">
        <w:rPr>
          <w:b w:val="0"/>
        </w:rPr>
        <w:t xml:space="preserve"> (including special status plant species)</w:t>
      </w:r>
    </w:p>
    <w:p w:rsidR="000C5087" w:rsidRDefault="00E95FC0" w:rsidP="0057169E">
      <w:pPr>
        <w:widowControl w:val="0"/>
        <w:spacing w:line="240" w:lineRule="auto"/>
        <w:contextualSpacing/>
      </w:pPr>
      <w:r>
        <w:rPr>
          <w:rFonts w:ascii="Times New Roman" w:eastAsia="Times New Roman" w:hAnsi="Times New Roman" w:cs="Times New Roman"/>
          <w:sz w:val="24"/>
        </w:rPr>
        <w:t xml:space="preserve">The impacts of the </w:t>
      </w:r>
      <w:r w:rsidR="00D17F05">
        <w:rPr>
          <w:rFonts w:ascii="Times New Roman" w:eastAsia="Times New Roman" w:hAnsi="Times New Roman" w:cs="Times New Roman"/>
          <w:sz w:val="24"/>
        </w:rPr>
        <w:t>withdrawal</w:t>
      </w:r>
      <w:r>
        <w:rPr>
          <w:rFonts w:ascii="Times New Roman" w:eastAsia="Times New Roman" w:hAnsi="Times New Roman" w:cs="Times New Roman"/>
          <w:sz w:val="24"/>
        </w:rPr>
        <w:t xml:space="preserve"> would be beneficial. </w:t>
      </w:r>
      <w:r w:rsidR="00472D2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w:t>
      </w:r>
      <w:r w:rsidR="00D17F05">
        <w:rPr>
          <w:rFonts w:ascii="Times New Roman" w:eastAsia="Times New Roman" w:hAnsi="Times New Roman" w:cs="Times New Roman"/>
          <w:sz w:val="24"/>
        </w:rPr>
        <w:t>withdrawal</w:t>
      </w:r>
      <w:r>
        <w:rPr>
          <w:rFonts w:ascii="Times New Roman" w:eastAsia="Times New Roman" w:hAnsi="Times New Roman" w:cs="Times New Roman"/>
          <w:sz w:val="24"/>
        </w:rPr>
        <w:t xml:space="preserve"> would allow soils and vegetation to remain in their present productive state where no mining claims exist. The </w:t>
      </w:r>
      <w:r w:rsidR="00D17F05">
        <w:rPr>
          <w:rFonts w:ascii="Times New Roman" w:eastAsia="Times New Roman" w:hAnsi="Times New Roman" w:cs="Times New Roman"/>
          <w:sz w:val="24"/>
        </w:rPr>
        <w:t xml:space="preserve">withdrawal </w:t>
      </w:r>
      <w:r>
        <w:rPr>
          <w:rFonts w:ascii="Times New Roman" w:eastAsia="Times New Roman" w:hAnsi="Times New Roman" w:cs="Times New Roman"/>
          <w:sz w:val="24"/>
        </w:rPr>
        <w:t xml:space="preserve">would not impact current mining claims which would continue under a prior existing right.  However, if the claims were abandoned or forfeited, the claims could not be relocated. </w:t>
      </w:r>
      <w:r w:rsidR="00472D2D">
        <w:rPr>
          <w:rFonts w:ascii="Times New Roman" w:eastAsia="Times New Roman" w:hAnsi="Times New Roman" w:cs="Times New Roman"/>
          <w:sz w:val="24"/>
        </w:rPr>
        <w:t xml:space="preserve"> </w:t>
      </w:r>
      <w:r>
        <w:rPr>
          <w:rFonts w:ascii="Times New Roman" w:eastAsia="Times New Roman" w:hAnsi="Times New Roman" w:cs="Times New Roman"/>
          <w:sz w:val="24"/>
        </w:rPr>
        <w:t>There are no known populations of special status plants on the subject lands so the special status plants would be unaff</w:t>
      </w:r>
      <w:r w:rsidR="00472D2D">
        <w:rPr>
          <w:rFonts w:ascii="Times New Roman" w:eastAsia="Times New Roman" w:hAnsi="Times New Roman" w:cs="Times New Roman"/>
          <w:sz w:val="24"/>
        </w:rPr>
        <w:t xml:space="preserve">ected by the </w:t>
      </w:r>
      <w:r w:rsidR="00D17F05">
        <w:rPr>
          <w:rFonts w:ascii="Times New Roman" w:eastAsia="Times New Roman" w:hAnsi="Times New Roman" w:cs="Times New Roman"/>
          <w:sz w:val="24"/>
        </w:rPr>
        <w:t>withdrawal</w:t>
      </w:r>
      <w:r w:rsidR="00472D2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Under the no action alternative, vegetation could be impacted if new claims were filed. </w:t>
      </w:r>
    </w:p>
    <w:p w:rsidR="0057169E" w:rsidRDefault="0057169E" w:rsidP="0057169E">
      <w:pPr>
        <w:tabs>
          <w:tab w:val="left" w:pos="1800"/>
        </w:tabs>
        <w:spacing w:line="240" w:lineRule="auto"/>
        <w:contextualSpacing/>
        <w:rPr>
          <w:rFonts w:ascii="Times New Roman" w:eastAsia="Times New Roman" w:hAnsi="Times New Roman" w:cs="Times New Roman"/>
          <w:sz w:val="24"/>
          <w:u w:val="single"/>
        </w:rPr>
      </w:pPr>
    </w:p>
    <w:p w:rsidR="000C5087" w:rsidRDefault="00E95FC0" w:rsidP="0057169E">
      <w:pPr>
        <w:tabs>
          <w:tab w:val="left" w:pos="1800"/>
        </w:tabs>
        <w:spacing w:line="240" w:lineRule="auto"/>
        <w:contextualSpacing/>
      </w:pPr>
      <w:r>
        <w:rPr>
          <w:rFonts w:ascii="Times New Roman" w:eastAsia="Times New Roman" w:hAnsi="Times New Roman" w:cs="Times New Roman"/>
          <w:sz w:val="24"/>
          <w:u w:val="single"/>
        </w:rPr>
        <w:t>Special Status Species Habitat</w:t>
      </w:r>
    </w:p>
    <w:p w:rsidR="00D17F05" w:rsidRDefault="00D17F05" w:rsidP="0057169E">
      <w:pPr>
        <w:widowControl w:val="0"/>
        <w:spacing w:line="240" w:lineRule="auto"/>
        <w:contextualSpacing/>
        <w:rPr>
          <w:rFonts w:ascii="Times New Roman" w:eastAsia="Times New Roman" w:hAnsi="Times New Roman" w:cs="Times New Roman"/>
          <w:sz w:val="24"/>
        </w:rPr>
      </w:pPr>
    </w:p>
    <w:p w:rsidR="000C5087" w:rsidRDefault="00E95FC0" w:rsidP="0057169E">
      <w:pPr>
        <w:widowControl w:val="0"/>
        <w:spacing w:line="240" w:lineRule="auto"/>
        <w:contextualSpacing/>
      </w:pPr>
      <w:r>
        <w:rPr>
          <w:rFonts w:ascii="Times New Roman" w:eastAsia="Times New Roman" w:hAnsi="Times New Roman" w:cs="Times New Roman"/>
          <w:sz w:val="24"/>
        </w:rPr>
        <w:t xml:space="preserve">The subject lands encompass approximately </w:t>
      </w:r>
      <w:r w:rsidR="00D17F05">
        <w:rPr>
          <w:rFonts w:ascii="Times New Roman" w:eastAsia="Times New Roman" w:hAnsi="Times New Roman" w:cs="Times New Roman"/>
          <w:sz w:val="24"/>
        </w:rPr>
        <w:t>3</w:t>
      </w:r>
      <w:r>
        <w:rPr>
          <w:rFonts w:ascii="Times New Roman" w:eastAsia="Times New Roman" w:hAnsi="Times New Roman" w:cs="Times New Roman"/>
          <w:sz w:val="24"/>
        </w:rPr>
        <w:t xml:space="preserve"> river miles along the Middle and North Fork of the American River and several miles of tributaries and riparian greenbelts.  The riparian zones along the American River and its tributaries support significant botanical and wildlife </w:t>
      </w:r>
      <w:r w:rsidR="0057169E">
        <w:rPr>
          <w:rFonts w:ascii="Times New Roman" w:eastAsia="Times New Roman" w:hAnsi="Times New Roman" w:cs="Times New Roman"/>
          <w:sz w:val="24"/>
        </w:rPr>
        <w:t>diversity.</w:t>
      </w:r>
    </w:p>
    <w:p w:rsidR="0057169E" w:rsidRDefault="0057169E" w:rsidP="0057169E">
      <w:pPr>
        <w:tabs>
          <w:tab w:val="left" w:pos="1800"/>
        </w:tabs>
        <w:spacing w:line="240" w:lineRule="auto"/>
        <w:contextualSpacing/>
        <w:rPr>
          <w:rFonts w:ascii="Times New Roman" w:eastAsia="Times New Roman" w:hAnsi="Times New Roman" w:cs="Times New Roman"/>
          <w:b/>
          <w:i/>
          <w:sz w:val="24"/>
          <w:u w:val="single"/>
        </w:rPr>
      </w:pPr>
    </w:p>
    <w:p w:rsidR="000C5087" w:rsidRDefault="00E95FC0" w:rsidP="0057169E">
      <w:pPr>
        <w:tabs>
          <w:tab w:val="left" w:pos="1800"/>
        </w:tabs>
        <w:spacing w:line="240" w:lineRule="auto"/>
        <w:contextualSpacing/>
      </w:pPr>
      <w:r>
        <w:rPr>
          <w:rFonts w:ascii="Times New Roman" w:eastAsia="Times New Roman" w:hAnsi="Times New Roman" w:cs="Times New Roman"/>
          <w:b/>
          <w:i/>
          <w:sz w:val="24"/>
          <w:u w:val="single"/>
        </w:rPr>
        <w:t>ITEM 4</w:t>
      </w:r>
      <w:r w:rsidR="008B7537">
        <w:rPr>
          <w:rFonts w:ascii="Times New Roman" w:eastAsia="Times New Roman" w:hAnsi="Times New Roman" w:cs="Times New Roman"/>
          <w:b/>
          <w:i/>
          <w:sz w:val="24"/>
        </w:rPr>
        <w:t xml:space="preserve"> </w:t>
      </w:r>
      <w:r w:rsidR="0057169E">
        <w:rPr>
          <w:rFonts w:ascii="Times New Roman" w:eastAsia="Times New Roman" w:hAnsi="Times New Roman" w:cs="Times New Roman"/>
          <w:b/>
          <w:i/>
          <w:sz w:val="24"/>
        </w:rPr>
        <w:t xml:space="preserve"> </w:t>
      </w:r>
      <w:r>
        <w:rPr>
          <w:rFonts w:ascii="Times New Roman" w:eastAsia="Times New Roman" w:hAnsi="Times New Roman" w:cs="Times New Roman"/>
          <w:b/>
          <w:i/>
          <w:sz w:val="24"/>
        </w:rPr>
        <w:t>An analysis of the manner in which existing and potential resource uses are incompatible with or in conflict with the proposed use, together with the existing uses, including an economic analysis of such continuation or termination.</w:t>
      </w:r>
    </w:p>
    <w:p w:rsidR="0057169E" w:rsidRDefault="0057169E" w:rsidP="0057169E">
      <w:pPr>
        <w:widowControl w:val="0"/>
        <w:spacing w:line="240" w:lineRule="auto"/>
        <w:contextualSpacing/>
        <w:rPr>
          <w:rFonts w:ascii="Times New Roman" w:eastAsia="Times New Roman" w:hAnsi="Times New Roman" w:cs="Times New Roman"/>
          <w:sz w:val="24"/>
        </w:rPr>
      </w:pPr>
    </w:p>
    <w:p w:rsidR="000C5087" w:rsidRDefault="00E95FC0" w:rsidP="0057169E">
      <w:pPr>
        <w:widowControl w:val="0"/>
        <w:spacing w:line="240" w:lineRule="auto"/>
        <w:contextualSpacing/>
      </w:pPr>
      <w:r>
        <w:rPr>
          <w:rFonts w:ascii="Times New Roman" w:eastAsia="Times New Roman" w:hAnsi="Times New Roman" w:cs="Times New Roman"/>
          <w:sz w:val="24"/>
        </w:rPr>
        <w:t xml:space="preserve">The main impacts of the withdrawal would be beneficial by providing for surface protection from mineral exploration activities over which the BLM has </w:t>
      </w:r>
      <w:r w:rsidR="00472D2D">
        <w:rPr>
          <w:rFonts w:ascii="Times New Roman" w:eastAsia="Times New Roman" w:hAnsi="Times New Roman" w:cs="Times New Roman"/>
          <w:sz w:val="24"/>
        </w:rPr>
        <w:t xml:space="preserve">little discretion to prevent.  </w:t>
      </w:r>
      <w:r>
        <w:rPr>
          <w:rFonts w:ascii="Times New Roman" w:eastAsia="Times New Roman" w:hAnsi="Times New Roman" w:cs="Times New Roman"/>
          <w:sz w:val="24"/>
        </w:rPr>
        <w:t xml:space="preserve">Without the withdrawal earth disturbing mineral exploration </w:t>
      </w:r>
      <w:r w:rsidR="00300E68">
        <w:rPr>
          <w:rFonts w:ascii="Times New Roman" w:eastAsia="Times New Roman" w:hAnsi="Times New Roman" w:cs="Times New Roman"/>
          <w:sz w:val="24"/>
        </w:rPr>
        <w:t>could occur</w:t>
      </w:r>
      <w:r>
        <w:rPr>
          <w:rFonts w:ascii="Times New Roman" w:eastAsia="Times New Roman" w:hAnsi="Times New Roman" w:cs="Times New Roman"/>
          <w:sz w:val="24"/>
        </w:rPr>
        <w:t xml:space="preserve"> on the public lands.  This could result in recreational and habitat loss and consequent adverse impacts to species.  There are populations of foothill yellow-legged frog and California spotted owl, both BLM sensitive species</w:t>
      </w:r>
      <w:r w:rsidR="00472D2D">
        <w:rPr>
          <w:rFonts w:ascii="Times New Roman" w:eastAsia="Times New Roman" w:hAnsi="Times New Roman" w:cs="Times New Roman"/>
          <w:sz w:val="24"/>
        </w:rPr>
        <w:t>,</w:t>
      </w:r>
      <w:r>
        <w:rPr>
          <w:rFonts w:ascii="Times New Roman" w:eastAsia="Times New Roman" w:hAnsi="Times New Roman" w:cs="Times New Roman"/>
          <w:sz w:val="24"/>
        </w:rPr>
        <w:t xml:space="preserve"> within the project area.  These species would be expected to benefit from the land</w:t>
      </w:r>
      <w:r w:rsidR="00D17F05">
        <w:rPr>
          <w:rFonts w:ascii="Times New Roman" w:eastAsia="Times New Roman" w:hAnsi="Times New Roman" w:cs="Times New Roman"/>
          <w:sz w:val="24"/>
        </w:rPr>
        <w:t>s</w:t>
      </w:r>
      <w:r>
        <w:rPr>
          <w:rFonts w:ascii="Times New Roman" w:eastAsia="Times New Roman" w:hAnsi="Times New Roman" w:cs="Times New Roman"/>
          <w:sz w:val="24"/>
        </w:rPr>
        <w:t xml:space="preserve"> being withdrawn from mineral entry.</w:t>
      </w:r>
    </w:p>
    <w:p w:rsidR="0057169E" w:rsidRDefault="0057169E" w:rsidP="0057169E">
      <w:pPr>
        <w:widowControl w:val="0"/>
        <w:spacing w:line="240" w:lineRule="auto"/>
        <w:contextualSpacing/>
        <w:rPr>
          <w:rFonts w:ascii="Times New Roman" w:eastAsia="Times New Roman" w:hAnsi="Times New Roman" w:cs="Times New Roman"/>
          <w:sz w:val="24"/>
        </w:rPr>
      </w:pPr>
    </w:p>
    <w:p w:rsidR="000C5087" w:rsidRDefault="00E95FC0" w:rsidP="0057169E">
      <w:pPr>
        <w:widowControl w:val="0"/>
        <w:spacing w:line="240" w:lineRule="auto"/>
        <w:contextualSpacing/>
      </w:pPr>
      <w:r>
        <w:rPr>
          <w:rFonts w:ascii="Times New Roman" w:eastAsia="Times New Roman" w:hAnsi="Times New Roman" w:cs="Times New Roman"/>
          <w:sz w:val="24"/>
        </w:rPr>
        <w:t>The withdrawal would protect high quality, diverse wildlife habitat in a greenbelt corridor of public domain lands and along the Middle and North forks of the American River.  Habitat and species would continue to be impacted at existing levels in areas with current mining claims.</w:t>
      </w:r>
    </w:p>
    <w:p w:rsidR="0057169E" w:rsidRDefault="0057169E" w:rsidP="0057169E">
      <w:pPr>
        <w:tabs>
          <w:tab w:val="left" w:pos="1800"/>
        </w:tabs>
        <w:spacing w:line="240" w:lineRule="auto"/>
        <w:contextualSpacing/>
        <w:rPr>
          <w:rFonts w:ascii="Times New Roman" w:eastAsia="Times New Roman" w:hAnsi="Times New Roman" w:cs="Times New Roman"/>
          <w:b/>
          <w:i/>
          <w:sz w:val="24"/>
          <w:u w:val="single"/>
        </w:rPr>
      </w:pPr>
    </w:p>
    <w:p w:rsidR="000C5087" w:rsidRDefault="00E95FC0" w:rsidP="0057169E">
      <w:pPr>
        <w:tabs>
          <w:tab w:val="left" w:pos="1800"/>
        </w:tabs>
        <w:spacing w:line="240" w:lineRule="auto"/>
        <w:contextualSpacing/>
      </w:pPr>
      <w:r>
        <w:rPr>
          <w:rFonts w:ascii="Times New Roman" w:eastAsia="Times New Roman" w:hAnsi="Times New Roman" w:cs="Times New Roman"/>
          <w:b/>
          <w:i/>
          <w:sz w:val="24"/>
          <w:u w:val="single"/>
        </w:rPr>
        <w:t>ITEM 5</w:t>
      </w:r>
      <w:r w:rsidR="008B7537">
        <w:rPr>
          <w:rFonts w:ascii="Times New Roman" w:eastAsia="Times New Roman" w:hAnsi="Times New Roman" w:cs="Times New Roman"/>
          <w:b/>
          <w:i/>
          <w:sz w:val="24"/>
        </w:rPr>
        <w:t xml:space="preserve"> </w:t>
      </w:r>
      <w:r w:rsidR="0057169E">
        <w:rPr>
          <w:rFonts w:ascii="Times New Roman" w:eastAsia="Times New Roman" w:hAnsi="Times New Roman" w:cs="Times New Roman"/>
          <w:b/>
          <w:i/>
          <w:sz w:val="24"/>
        </w:rPr>
        <w:t xml:space="preserve"> </w:t>
      </w:r>
      <w:r>
        <w:rPr>
          <w:rFonts w:ascii="Times New Roman" w:eastAsia="Times New Roman" w:hAnsi="Times New Roman" w:cs="Times New Roman"/>
          <w:b/>
          <w:i/>
          <w:sz w:val="24"/>
        </w:rPr>
        <w:t>An analysis of the manner in which such lands will be</w:t>
      </w:r>
      <w:r>
        <w:rPr>
          <w:rFonts w:ascii="Times New Roman" w:eastAsia="Times New Roman" w:hAnsi="Times New Roman" w:cs="Times New Roman"/>
          <w:sz w:val="24"/>
        </w:rPr>
        <w:t xml:space="preserve"> </w:t>
      </w:r>
      <w:r>
        <w:rPr>
          <w:rFonts w:ascii="Times New Roman" w:eastAsia="Times New Roman" w:hAnsi="Times New Roman" w:cs="Times New Roman"/>
          <w:b/>
          <w:sz w:val="24"/>
        </w:rPr>
        <w:t>used in relation to the specific requirements for the proposed use.</w:t>
      </w:r>
    </w:p>
    <w:p w:rsidR="00D17F05" w:rsidRDefault="00D17F05" w:rsidP="0057169E">
      <w:pPr>
        <w:spacing w:before="100" w:after="0" w:line="240" w:lineRule="auto"/>
        <w:contextualSpacing/>
        <w:rPr>
          <w:rFonts w:ascii="Times New Roman" w:eastAsia="Times New Roman" w:hAnsi="Times New Roman" w:cs="Times New Roman"/>
          <w:sz w:val="24"/>
        </w:rPr>
      </w:pPr>
    </w:p>
    <w:p w:rsidR="000C5087" w:rsidRDefault="00E95FC0" w:rsidP="0057169E">
      <w:pPr>
        <w:spacing w:before="100" w:after="0" w:line="240" w:lineRule="auto"/>
        <w:contextualSpacing/>
      </w:pPr>
      <w:r>
        <w:rPr>
          <w:rFonts w:ascii="Times New Roman" w:eastAsia="Times New Roman" w:hAnsi="Times New Roman" w:cs="Times New Roman"/>
          <w:sz w:val="24"/>
        </w:rPr>
        <w:t>There is concern that lands in this area not withdrawn from mineral entry may be open to mining claims that would impede BLM’s surface management for r</w:t>
      </w:r>
      <w:r w:rsidR="00FB6D96">
        <w:rPr>
          <w:rFonts w:ascii="Times New Roman" w:eastAsia="Times New Roman" w:hAnsi="Times New Roman" w:cs="Times New Roman"/>
          <w:sz w:val="24"/>
        </w:rPr>
        <w:t>ecreation, riparian areas, wild</w:t>
      </w:r>
      <w:r>
        <w:rPr>
          <w:rFonts w:ascii="Times New Roman" w:eastAsia="Times New Roman" w:hAnsi="Times New Roman" w:cs="Times New Roman"/>
          <w:sz w:val="24"/>
        </w:rPr>
        <w:t>life habitat, and sce</w:t>
      </w:r>
      <w:r w:rsidR="000931E5">
        <w:rPr>
          <w:rFonts w:ascii="Times New Roman" w:eastAsia="Times New Roman" w:hAnsi="Times New Roman" w:cs="Times New Roman"/>
          <w:sz w:val="24"/>
        </w:rPr>
        <w:t xml:space="preserve">nic quality.  The withdrawal </w:t>
      </w:r>
      <w:r>
        <w:rPr>
          <w:rFonts w:ascii="Times New Roman" w:eastAsia="Times New Roman" w:hAnsi="Times New Roman" w:cs="Times New Roman"/>
          <w:sz w:val="24"/>
        </w:rPr>
        <w:t>also provide</w:t>
      </w:r>
      <w:r w:rsidR="000931E5">
        <w:rPr>
          <w:rFonts w:ascii="Times New Roman" w:eastAsia="Times New Roman" w:hAnsi="Times New Roman" w:cs="Times New Roman"/>
          <w:sz w:val="24"/>
        </w:rPr>
        <w:t>s</w:t>
      </w:r>
      <w:r>
        <w:rPr>
          <w:rFonts w:ascii="Times New Roman" w:eastAsia="Times New Roman" w:hAnsi="Times New Roman" w:cs="Times New Roman"/>
          <w:sz w:val="24"/>
        </w:rPr>
        <w:t xml:space="preserve"> protection of lands associated with the congressionally des</w:t>
      </w:r>
      <w:r w:rsidR="00D17F05">
        <w:rPr>
          <w:rFonts w:ascii="Times New Roman" w:eastAsia="Times New Roman" w:hAnsi="Times New Roman" w:cs="Times New Roman"/>
          <w:sz w:val="24"/>
        </w:rPr>
        <w:t>ignated Auburn Dam Reclamation P</w:t>
      </w:r>
      <w:r>
        <w:rPr>
          <w:rFonts w:ascii="Times New Roman" w:eastAsia="Times New Roman" w:hAnsi="Times New Roman" w:cs="Times New Roman"/>
          <w:sz w:val="24"/>
        </w:rPr>
        <w:t>roject area while a decision on future development of the site is pending.</w:t>
      </w:r>
    </w:p>
    <w:p w:rsidR="000C5087" w:rsidRDefault="000C5087" w:rsidP="0057169E">
      <w:pPr>
        <w:spacing w:after="0" w:line="240" w:lineRule="auto"/>
        <w:contextualSpacing/>
      </w:pPr>
    </w:p>
    <w:p w:rsidR="000C5087" w:rsidRDefault="00E95FC0" w:rsidP="0057169E">
      <w:pPr>
        <w:spacing w:after="10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On February 21, 2012</w:t>
      </w:r>
      <w:r w:rsidR="000931E5">
        <w:rPr>
          <w:rFonts w:ascii="Times New Roman" w:eastAsia="Times New Roman" w:hAnsi="Times New Roman" w:cs="Times New Roman"/>
          <w:sz w:val="24"/>
        </w:rPr>
        <w:t>,</w:t>
      </w:r>
      <w:r>
        <w:rPr>
          <w:rFonts w:ascii="Times New Roman" w:eastAsia="Times New Roman" w:hAnsi="Times New Roman" w:cs="Times New Roman"/>
          <w:sz w:val="24"/>
        </w:rPr>
        <w:t xml:space="preserve"> an agreement was signed between the Department of the Interior and California State Parks to maintain recreational facilities at this site for the next 25 years.  Congressman Tom McClintock is directly involved in supporting recreational uses for this project area.  Recreational user groups for this area include trail runners, hikers, swimmers, boaters, fishermen, campers, cyclists, horseback riders and off-highway motorcycle riders.</w:t>
      </w:r>
    </w:p>
    <w:p w:rsidR="00C76298" w:rsidRDefault="00C76298" w:rsidP="0057169E">
      <w:pPr>
        <w:spacing w:after="100" w:line="240" w:lineRule="auto"/>
        <w:contextualSpacing/>
      </w:pPr>
    </w:p>
    <w:p w:rsidR="000C5087" w:rsidRDefault="00E95FC0" w:rsidP="0057169E">
      <w:pPr>
        <w:tabs>
          <w:tab w:val="left" w:pos="1800"/>
        </w:tabs>
        <w:spacing w:line="240" w:lineRule="auto"/>
        <w:contextualSpacing/>
      </w:pPr>
      <w:r>
        <w:rPr>
          <w:rFonts w:ascii="Times New Roman" w:eastAsia="Times New Roman" w:hAnsi="Times New Roman" w:cs="Times New Roman"/>
          <w:b/>
          <w:i/>
          <w:sz w:val="24"/>
          <w:u w:val="single"/>
        </w:rPr>
        <w:t>ITEM 6</w:t>
      </w:r>
      <w:r>
        <w:rPr>
          <w:rFonts w:ascii="Times New Roman" w:eastAsia="Times New Roman" w:hAnsi="Times New Roman" w:cs="Times New Roman"/>
          <w:b/>
          <w:sz w:val="24"/>
        </w:rPr>
        <w:t xml:space="preserve"> </w:t>
      </w:r>
      <w:r w:rsidR="0057169E">
        <w:rPr>
          <w:rFonts w:ascii="Times New Roman" w:eastAsia="Times New Roman" w:hAnsi="Times New Roman" w:cs="Times New Roman"/>
          <w:b/>
          <w:sz w:val="24"/>
        </w:rPr>
        <w:t xml:space="preserve"> </w:t>
      </w:r>
      <w:r>
        <w:rPr>
          <w:rFonts w:ascii="Times New Roman" w:eastAsia="Times New Roman" w:hAnsi="Times New Roman" w:cs="Times New Roman"/>
          <w:b/>
          <w:sz w:val="24"/>
        </w:rPr>
        <w:t>A statement as to whether any suitable sites are available (including costs estimates) for the proposed use or for uses such as the withdrawal would displace.</w:t>
      </w:r>
    </w:p>
    <w:p w:rsidR="0057169E" w:rsidRDefault="0057169E" w:rsidP="0057169E">
      <w:pPr>
        <w:tabs>
          <w:tab w:val="left" w:pos="1800"/>
        </w:tabs>
        <w:spacing w:line="240" w:lineRule="auto"/>
        <w:contextualSpacing/>
        <w:rPr>
          <w:rFonts w:ascii="Times New Roman" w:eastAsia="Times New Roman" w:hAnsi="Times New Roman" w:cs="Times New Roman"/>
          <w:sz w:val="24"/>
        </w:rPr>
      </w:pPr>
    </w:p>
    <w:p w:rsidR="000C5087" w:rsidRDefault="00D17F05" w:rsidP="0057169E">
      <w:pPr>
        <w:tabs>
          <w:tab w:val="left" w:pos="1800"/>
        </w:tabs>
        <w:spacing w:line="240" w:lineRule="auto"/>
        <w:contextualSpacing/>
      </w:pPr>
      <w:r>
        <w:rPr>
          <w:rFonts w:ascii="Times New Roman" w:eastAsia="Times New Roman" w:hAnsi="Times New Roman" w:cs="Times New Roman"/>
          <w:sz w:val="24"/>
        </w:rPr>
        <w:t xml:space="preserve">The </w:t>
      </w:r>
      <w:r w:rsidR="00E95FC0">
        <w:rPr>
          <w:rFonts w:ascii="Times New Roman" w:eastAsia="Times New Roman" w:hAnsi="Times New Roman" w:cs="Times New Roman"/>
          <w:sz w:val="24"/>
        </w:rPr>
        <w:t>withdrawal and other alternatives were presented and discussed during the Environmental Assessment (EA) public process.  No suitable alternative sites were identified.</w:t>
      </w:r>
    </w:p>
    <w:p w:rsidR="0057169E" w:rsidRDefault="0057169E" w:rsidP="0057169E">
      <w:pPr>
        <w:tabs>
          <w:tab w:val="left" w:pos="1800"/>
        </w:tabs>
        <w:spacing w:line="240" w:lineRule="auto"/>
        <w:contextualSpacing/>
        <w:rPr>
          <w:rFonts w:ascii="Times New Roman" w:eastAsia="Times New Roman" w:hAnsi="Times New Roman" w:cs="Times New Roman"/>
          <w:b/>
          <w:i/>
          <w:sz w:val="24"/>
          <w:u w:val="single"/>
        </w:rPr>
      </w:pPr>
    </w:p>
    <w:p w:rsidR="000C5087" w:rsidRDefault="00E95FC0" w:rsidP="0057169E">
      <w:pPr>
        <w:tabs>
          <w:tab w:val="left" w:pos="1800"/>
        </w:tabs>
        <w:spacing w:line="240" w:lineRule="auto"/>
        <w:contextualSpacing/>
      </w:pPr>
      <w:r>
        <w:rPr>
          <w:rFonts w:ascii="Times New Roman" w:eastAsia="Times New Roman" w:hAnsi="Times New Roman" w:cs="Times New Roman"/>
          <w:b/>
          <w:i/>
          <w:sz w:val="24"/>
          <w:u w:val="single"/>
        </w:rPr>
        <w:t>ITEM 7</w:t>
      </w:r>
      <w:r w:rsidR="0057169E">
        <w:rPr>
          <w:rFonts w:ascii="Times New Roman" w:eastAsia="Times New Roman" w:hAnsi="Times New Roman" w:cs="Times New Roman"/>
          <w:b/>
          <w:i/>
          <w:sz w:val="24"/>
        </w:rPr>
        <w:t xml:space="preserve">  </w:t>
      </w:r>
      <w:r>
        <w:rPr>
          <w:rFonts w:ascii="Times New Roman" w:eastAsia="Times New Roman" w:hAnsi="Times New Roman" w:cs="Times New Roman"/>
          <w:b/>
          <w:i/>
          <w:sz w:val="24"/>
        </w:rPr>
        <w:t>A statement of the consultation that has been or will be had with other Federal departments and agencies, with regional State and local government bodies, and with other appropriate individuals and groups.</w:t>
      </w:r>
    </w:p>
    <w:p w:rsidR="006E12E9" w:rsidRDefault="006E12E9" w:rsidP="0057169E">
      <w:pPr>
        <w:tabs>
          <w:tab w:val="left" w:pos="1800"/>
        </w:tabs>
        <w:spacing w:line="240" w:lineRule="auto"/>
        <w:contextualSpacing/>
        <w:rPr>
          <w:rFonts w:ascii="Times New Roman" w:eastAsia="Times New Roman" w:hAnsi="Times New Roman" w:cs="Times New Roman"/>
          <w:sz w:val="24"/>
        </w:rPr>
      </w:pPr>
    </w:p>
    <w:p w:rsidR="000C5087" w:rsidRDefault="00E95FC0" w:rsidP="0057169E">
      <w:pPr>
        <w:tabs>
          <w:tab w:val="left" w:pos="1800"/>
        </w:tabs>
        <w:spacing w:line="240" w:lineRule="auto"/>
        <w:contextualSpacing/>
      </w:pPr>
      <w:r>
        <w:rPr>
          <w:rFonts w:ascii="Times New Roman" w:eastAsia="Times New Roman" w:hAnsi="Times New Roman" w:cs="Times New Roman"/>
          <w:sz w:val="24"/>
        </w:rPr>
        <w:t xml:space="preserve">The Bureau of Reclamation and California State Parks concur and support the withdrawal.  Congressman Tom McClintock is directly involved in supporting recreational uses for this project area.  </w:t>
      </w:r>
    </w:p>
    <w:p w:rsidR="006E12E9" w:rsidRDefault="006E12E9" w:rsidP="0057169E">
      <w:pPr>
        <w:tabs>
          <w:tab w:val="left" w:pos="1800"/>
        </w:tabs>
        <w:spacing w:line="240" w:lineRule="auto"/>
        <w:contextualSpacing/>
        <w:rPr>
          <w:rFonts w:ascii="Times New Roman" w:eastAsia="Times New Roman" w:hAnsi="Times New Roman" w:cs="Times New Roman"/>
          <w:b/>
          <w:i/>
          <w:sz w:val="24"/>
          <w:u w:val="single"/>
        </w:rPr>
      </w:pPr>
    </w:p>
    <w:p w:rsidR="000C5087" w:rsidRDefault="00E95FC0" w:rsidP="0057169E">
      <w:pPr>
        <w:tabs>
          <w:tab w:val="left" w:pos="1800"/>
        </w:tabs>
        <w:spacing w:line="240" w:lineRule="auto"/>
        <w:contextualSpacing/>
      </w:pPr>
      <w:r>
        <w:rPr>
          <w:rFonts w:ascii="Times New Roman" w:eastAsia="Times New Roman" w:hAnsi="Times New Roman" w:cs="Times New Roman"/>
          <w:b/>
          <w:i/>
          <w:sz w:val="24"/>
          <w:u w:val="single"/>
        </w:rPr>
        <w:t>ITEM 8</w:t>
      </w:r>
      <w:r w:rsidR="000931E5">
        <w:rPr>
          <w:rFonts w:ascii="Times New Roman" w:eastAsia="Times New Roman" w:hAnsi="Times New Roman" w:cs="Times New Roman"/>
          <w:b/>
          <w:i/>
          <w:sz w:val="24"/>
        </w:rPr>
        <w:t xml:space="preserve">  </w:t>
      </w:r>
      <w:r>
        <w:rPr>
          <w:rFonts w:ascii="Times New Roman" w:eastAsia="Times New Roman" w:hAnsi="Times New Roman" w:cs="Times New Roman"/>
          <w:b/>
          <w:i/>
          <w:sz w:val="24"/>
        </w:rPr>
        <w:t>A statement indicating the effect of the proposed uses, if any on State and local government interests and the regional economies.</w:t>
      </w:r>
    </w:p>
    <w:p w:rsidR="006E12E9" w:rsidRDefault="006E12E9" w:rsidP="0057169E">
      <w:pPr>
        <w:spacing w:before="100" w:after="100" w:line="240" w:lineRule="auto"/>
        <w:contextualSpacing/>
        <w:rPr>
          <w:rFonts w:ascii="Times New Roman" w:eastAsia="Times New Roman" w:hAnsi="Times New Roman" w:cs="Times New Roman"/>
          <w:sz w:val="24"/>
        </w:rPr>
      </w:pPr>
    </w:p>
    <w:p w:rsidR="000C5087" w:rsidRDefault="00E95FC0" w:rsidP="0057169E">
      <w:pPr>
        <w:spacing w:before="100" w:after="10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On February 21, 2012</w:t>
      </w:r>
      <w:r w:rsidR="006E12E9">
        <w:rPr>
          <w:rFonts w:ascii="Times New Roman" w:eastAsia="Times New Roman" w:hAnsi="Times New Roman" w:cs="Times New Roman"/>
          <w:sz w:val="24"/>
        </w:rPr>
        <w:t>,</w:t>
      </w:r>
      <w:r>
        <w:rPr>
          <w:rFonts w:ascii="Times New Roman" w:eastAsia="Times New Roman" w:hAnsi="Times New Roman" w:cs="Times New Roman"/>
          <w:sz w:val="24"/>
        </w:rPr>
        <w:t xml:space="preserve"> an agreement was signed between the Department of the Interior and California State Parks to maintain recreational facilities at this site for the next 25 years.  Recreational user groups for this area include trail runners, hikers, swimmers, boaters, fishermen, campers, cyclists, horseback riders and off-highway motorcycle riders.</w:t>
      </w:r>
    </w:p>
    <w:p w:rsidR="00C76298" w:rsidRDefault="00C76298" w:rsidP="0057169E">
      <w:pPr>
        <w:spacing w:before="100" w:after="100" w:line="240" w:lineRule="auto"/>
        <w:contextualSpacing/>
      </w:pPr>
    </w:p>
    <w:p w:rsidR="000C5087" w:rsidRDefault="00E95FC0" w:rsidP="0057169E">
      <w:pPr>
        <w:tabs>
          <w:tab w:val="left" w:pos="1800"/>
        </w:tabs>
        <w:spacing w:line="240" w:lineRule="auto"/>
        <w:contextualSpacing/>
      </w:pPr>
      <w:r>
        <w:rPr>
          <w:rFonts w:ascii="Times New Roman" w:eastAsia="Times New Roman" w:hAnsi="Times New Roman" w:cs="Times New Roman"/>
          <w:b/>
          <w:i/>
          <w:sz w:val="24"/>
          <w:u w:val="single"/>
        </w:rPr>
        <w:t xml:space="preserve">ITEM </w:t>
      </w:r>
      <w:r w:rsidR="00C76298">
        <w:rPr>
          <w:rFonts w:ascii="Times New Roman" w:eastAsia="Times New Roman" w:hAnsi="Times New Roman" w:cs="Times New Roman"/>
          <w:b/>
          <w:i/>
          <w:sz w:val="24"/>
          <w:u w:val="single"/>
        </w:rPr>
        <w:t>9</w:t>
      </w:r>
      <w:r w:rsidR="00C76298" w:rsidRPr="00C76298">
        <w:rPr>
          <w:rFonts w:ascii="Times New Roman" w:eastAsia="Times New Roman" w:hAnsi="Times New Roman" w:cs="Times New Roman"/>
          <w:b/>
          <w:i/>
          <w:sz w:val="24"/>
        </w:rPr>
        <w:t xml:space="preserve"> </w:t>
      </w:r>
      <w:r w:rsidR="000931E5">
        <w:rPr>
          <w:rFonts w:ascii="Times New Roman" w:eastAsia="Times New Roman" w:hAnsi="Times New Roman" w:cs="Times New Roman"/>
          <w:b/>
          <w:i/>
          <w:sz w:val="24"/>
        </w:rPr>
        <w:t xml:space="preserve"> </w:t>
      </w:r>
      <w:r w:rsidR="00C76298" w:rsidRPr="00C76298">
        <w:rPr>
          <w:rFonts w:ascii="Times New Roman" w:eastAsia="Times New Roman" w:hAnsi="Times New Roman" w:cs="Times New Roman"/>
          <w:b/>
          <w:i/>
          <w:sz w:val="24"/>
        </w:rPr>
        <w:t>A</w:t>
      </w:r>
      <w:r>
        <w:rPr>
          <w:rFonts w:ascii="Times New Roman" w:eastAsia="Times New Roman" w:hAnsi="Times New Roman" w:cs="Times New Roman"/>
          <w:b/>
          <w:i/>
          <w:sz w:val="24"/>
        </w:rPr>
        <w:t xml:space="preserve"> statement of the expected length of time needed for the withdrawal.</w:t>
      </w:r>
    </w:p>
    <w:p w:rsidR="0057169E" w:rsidRDefault="0057169E" w:rsidP="0057169E">
      <w:pPr>
        <w:tabs>
          <w:tab w:val="left" w:pos="1800"/>
        </w:tabs>
        <w:spacing w:line="240" w:lineRule="auto"/>
        <w:contextualSpacing/>
        <w:rPr>
          <w:rFonts w:ascii="Times New Roman" w:eastAsia="Times New Roman" w:hAnsi="Times New Roman" w:cs="Times New Roman"/>
          <w:sz w:val="24"/>
        </w:rPr>
      </w:pPr>
    </w:p>
    <w:p w:rsidR="000C5087" w:rsidRDefault="00E95FC0" w:rsidP="0057169E">
      <w:pPr>
        <w:tabs>
          <w:tab w:val="left" w:pos="1800"/>
        </w:tabs>
        <w:spacing w:line="240" w:lineRule="auto"/>
        <w:contextualSpacing/>
      </w:pPr>
      <w:r>
        <w:rPr>
          <w:rFonts w:ascii="Times New Roman" w:eastAsia="Times New Roman" w:hAnsi="Times New Roman" w:cs="Times New Roman"/>
          <w:sz w:val="24"/>
        </w:rPr>
        <w:t>The duration of the withdrawal is 20 years.</w:t>
      </w:r>
    </w:p>
    <w:p w:rsidR="0057169E" w:rsidRDefault="0057169E" w:rsidP="0057169E">
      <w:pPr>
        <w:tabs>
          <w:tab w:val="left" w:pos="1800"/>
        </w:tabs>
        <w:spacing w:line="240" w:lineRule="auto"/>
        <w:contextualSpacing/>
        <w:rPr>
          <w:rFonts w:ascii="Times New Roman" w:eastAsia="Times New Roman" w:hAnsi="Times New Roman" w:cs="Times New Roman"/>
          <w:b/>
          <w:i/>
          <w:sz w:val="24"/>
          <w:u w:val="single"/>
        </w:rPr>
      </w:pPr>
    </w:p>
    <w:p w:rsidR="000C5087" w:rsidRDefault="00E95FC0" w:rsidP="0057169E">
      <w:pPr>
        <w:tabs>
          <w:tab w:val="left" w:pos="1800"/>
        </w:tabs>
        <w:spacing w:line="240" w:lineRule="auto"/>
        <w:contextualSpacing/>
      </w:pPr>
      <w:r>
        <w:rPr>
          <w:rFonts w:ascii="Times New Roman" w:eastAsia="Times New Roman" w:hAnsi="Times New Roman" w:cs="Times New Roman"/>
          <w:b/>
          <w:i/>
          <w:sz w:val="24"/>
          <w:u w:val="single"/>
        </w:rPr>
        <w:lastRenderedPageBreak/>
        <w:t xml:space="preserve">ITEM </w:t>
      </w:r>
      <w:r w:rsidR="00C76298">
        <w:rPr>
          <w:rFonts w:ascii="Times New Roman" w:eastAsia="Times New Roman" w:hAnsi="Times New Roman" w:cs="Times New Roman"/>
          <w:b/>
          <w:i/>
          <w:sz w:val="24"/>
          <w:u w:val="single"/>
        </w:rPr>
        <w:t>10</w:t>
      </w:r>
      <w:r w:rsidR="00C76298" w:rsidRPr="00C76298">
        <w:rPr>
          <w:rFonts w:ascii="Times New Roman" w:eastAsia="Times New Roman" w:hAnsi="Times New Roman" w:cs="Times New Roman"/>
          <w:b/>
          <w:i/>
          <w:sz w:val="24"/>
        </w:rPr>
        <w:t xml:space="preserve"> </w:t>
      </w:r>
      <w:r w:rsidR="000931E5">
        <w:rPr>
          <w:rFonts w:ascii="Times New Roman" w:eastAsia="Times New Roman" w:hAnsi="Times New Roman" w:cs="Times New Roman"/>
          <w:b/>
          <w:i/>
          <w:sz w:val="24"/>
        </w:rPr>
        <w:t xml:space="preserve"> </w:t>
      </w:r>
      <w:r w:rsidR="00C76298" w:rsidRPr="00C76298">
        <w:rPr>
          <w:rFonts w:ascii="Times New Roman" w:eastAsia="Times New Roman" w:hAnsi="Times New Roman" w:cs="Times New Roman"/>
          <w:b/>
          <w:i/>
          <w:sz w:val="24"/>
        </w:rPr>
        <w:t>The</w:t>
      </w:r>
      <w:r>
        <w:rPr>
          <w:rFonts w:ascii="Times New Roman" w:eastAsia="Times New Roman" w:hAnsi="Times New Roman" w:cs="Times New Roman"/>
          <w:b/>
          <w:i/>
          <w:sz w:val="24"/>
        </w:rPr>
        <w:t xml:space="preserve"> time and place of hearing and of other public involvement concerning the withdrawal.</w:t>
      </w:r>
    </w:p>
    <w:p w:rsidR="0057169E" w:rsidRDefault="0057169E" w:rsidP="0057169E">
      <w:pPr>
        <w:tabs>
          <w:tab w:val="left" w:pos="360"/>
        </w:tabs>
        <w:spacing w:after="0" w:line="240" w:lineRule="auto"/>
        <w:contextualSpacing/>
        <w:rPr>
          <w:rFonts w:ascii="Times New Roman" w:eastAsia="Times New Roman" w:hAnsi="Times New Roman" w:cs="Times New Roman"/>
          <w:sz w:val="24"/>
        </w:rPr>
      </w:pPr>
    </w:p>
    <w:p w:rsidR="000C5087" w:rsidRDefault="00E95FC0" w:rsidP="0057169E">
      <w:pPr>
        <w:tabs>
          <w:tab w:val="left" w:pos="360"/>
        </w:tabs>
        <w:spacing w:after="0" w:line="240" w:lineRule="auto"/>
        <w:contextualSpacing/>
      </w:pPr>
      <w:r>
        <w:rPr>
          <w:rFonts w:ascii="Times New Roman" w:eastAsia="Times New Roman" w:hAnsi="Times New Roman" w:cs="Times New Roman"/>
          <w:sz w:val="24"/>
        </w:rPr>
        <w:t>On September 4, 2012</w:t>
      </w:r>
      <w:r w:rsidR="006E12E9">
        <w:rPr>
          <w:rFonts w:ascii="Times New Roman" w:eastAsia="Times New Roman" w:hAnsi="Times New Roman" w:cs="Times New Roman"/>
          <w:sz w:val="24"/>
        </w:rPr>
        <w:t>,</w:t>
      </w:r>
      <w:r w:rsidR="002B0854">
        <w:rPr>
          <w:rFonts w:ascii="Times New Roman" w:eastAsia="Times New Roman" w:hAnsi="Times New Roman" w:cs="Times New Roman"/>
          <w:sz w:val="24"/>
        </w:rPr>
        <w:t xml:space="preserve"> a Notice of</w:t>
      </w:r>
      <w:r>
        <w:rPr>
          <w:rFonts w:ascii="Times New Roman" w:eastAsia="Times New Roman" w:hAnsi="Times New Roman" w:cs="Times New Roman"/>
          <w:sz w:val="24"/>
        </w:rPr>
        <w:t xml:space="preserve"> Pro</w:t>
      </w:r>
      <w:r w:rsidR="00D17F05">
        <w:rPr>
          <w:rFonts w:ascii="Times New Roman" w:eastAsia="Times New Roman" w:hAnsi="Times New Roman" w:cs="Times New Roman"/>
          <w:sz w:val="24"/>
        </w:rPr>
        <w:t>posed</w:t>
      </w:r>
      <w:r>
        <w:rPr>
          <w:rFonts w:ascii="Times New Roman" w:eastAsia="Times New Roman" w:hAnsi="Times New Roman" w:cs="Times New Roman"/>
          <w:sz w:val="24"/>
        </w:rPr>
        <w:t xml:space="preserve"> W</w:t>
      </w:r>
      <w:r w:rsidR="002B0854">
        <w:rPr>
          <w:rFonts w:ascii="Times New Roman" w:eastAsia="Times New Roman" w:hAnsi="Times New Roman" w:cs="Times New Roman"/>
          <w:sz w:val="24"/>
        </w:rPr>
        <w:t xml:space="preserve">ithdrawal was published in the </w:t>
      </w:r>
      <w:r w:rsidR="002B0854" w:rsidRPr="002B0854">
        <w:rPr>
          <w:rFonts w:ascii="Times New Roman" w:eastAsia="Times New Roman" w:hAnsi="Times New Roman" w:cs="Times New Roman"/>
          <w:i/>
          <w:sz w:val="24"/>
        </w:rPr>
        <w:t>F</w:t>
      </w:r>
      <w:r w:rsidRPr="002B0854">
        <w:rPr>
          <w:rFonts w:ascii="Times New Roman" w:eastAsia="Times New Roman" w:hAnsi="Times New Roman" w:cs="Times New Roman"/>
          <w:i/>
          <w:sz w:val="24"/>
        </w:rPr>
        <w:t xml:space="preserve">ederal </w:t>
      </w:r>
      <w:r w:rsidR="002B0854" w:rsidRPr="002B0854">
        <w:rPr>
          <w:rFonts w:ascii="Times New Roman" w:eastAsia="Times New Roman" w:hAnsi="Times New Roman" w:cs="Times New Roman"/>
          <w:i/>
          <w:sz w:val="24"/>
        </w:rPr>
        <w:t>R</w:t>
      </w:r>
      <w:r w:rsidRPr="002B0854">
        <w:rPr>
          <w:rFonts w:ascii="Times New Roman" w:eastAsia="Times New Roman" w:hAnsi="Times New Roman" w:cs="Times New Roman"/>
          <w:i/>
          <w:sz w:val="24"/>
        </w:rPr>
        <w:t>egister</w:t>
      </w:r>
      <w:r>
        <w:rPr>
          <w:rFonts w:ascii="Times New Roman" w:eastAsia="Times New Roman" w:hAnsi="Times New Roman" w:cs="Times New Roman"/>
          <w:sz w:val="24"/>
        </w:rPr>
        <w:t>.  This notice was requested to provide time for an analysis of the lands and to provide time for public input.  A public meeting was held on May 20, 2014</w:t>
      </w:r>
      <w:r w:rsidR="006E12E9">
        <w:rPr>
          <w:rFonts w:ascii="Times New Roman" w:eastAsia="Times New Roman" w:hAnsi="Times New Roman" w:cs="Times New Roman"/>
          <w:sz w:val="24"/>
        </w:rPr>
        <w:t>,</w:t>
      </w:r>
      <w:r>
        <w:rPr>
          <w:rFonts w:ascii="Times New Roman" w:eastAsia="Times New Roman" w:hAnsi="Times New Roman" w:cs="Times New Roman"/>
          <w:sz w:val="24"/>
        </w:rPr>
        <w:t xml:space="preserve"> and </w:t>
      </w:r>
      <w:r w:rsidR="002B0854">
        <w:rPr>
          <w:rFonts w:ascii="Times New Roman" w:eastAsia="Times New Roman" w:hAnsi="Times New Roman" w:cs="Times New Roman"/>
          <w:sz w:val="24"/>
        </w:rPr>
        <w:t>a 90-</w:t>
      </w:r>
      <w:r>
        <w:rPr>
          <w:rFonts w:ascii="Times New Roman" w:eastAsia="Times New Roman" w:hAnsi="Times New Roman" w:cs="Times New Roman"/>
          <w:sz w:val="24"/>
        </w:rPr>
        <w:t>day comment period was provided to the public for input.  The BLM did not receive any objections to the withdrawal.  BLM did receive a letter of support from the Board of Directors of Protect American River Canyons.  Congressman Tom McClintock is directly involved in supporting recreational uses for this project area.</w:t>
      </w:r>
    </w:p>
    <w:p w:rsidR="000C5087" w:rsidRDefault="000C5087" w:rsidP="0057169E">
      <w:pPr>
        <w:tabs>
          <w:tab w:val="left" w:pos="1800"/>
        </w:tabs>
        <w:spacing w:line="240" w:lineRule="auto"/>
        <w:contextualSpacing/>
      </w:pPr>
    </w:p>
    <w:p w:rsidR="000C5087" w:rsidRDefault="00E95FC0" w:rsidP="0057169E">
      <w:pPr>
        <w:tabs>
          <w:tab w:val="left" w:pos="1800"/>
        </w:tabs>
        <w:spacing w:line="240" w:lineRule="auto"/>
        <w:contextualSpacing/>
      </w:pPr>
      <w:r>
        <w:rPr>
          <w:rFonts w:ascii="Times New Roman" w:eastAsia="Times New Roman" w:hAnsi="Times New Roman" w:cs="Times New Roman"/>
          <w:b/>
          <w:i/>
          <w:sz w:val="24"/>
          <w:u w:val="single"/>
        </w:rPr>
        <w:t>ITEM 11</w:t>
      </w:r>
      <w:r w:rsidR="000931E5">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 The place where the records on the withdrawal can be examined by interested parties.</w:t>
      </w:r>
    </w:p>
    <w:p w:rsidR="0057169E" w:rsidRDefault="0057169E" w:rsidP="0057169E">
      <w:pPr>
        <w:spacing w:after="0" w:line="240" w:lineRule="auto"/>
        <w:contextualSpacing/>
        <w:rPr>
          <w:rFonts w:ascii="Times New Roman" w:eastAsia="Times New Roman" w:hAnsi="Times New Roman" w:cs="Times New Roman"/>
          <w:sz w:val="24"/>
        </w:rPr>
      </w:pPr>
    </w:p>
    <w:p w:rsidR="000C5087" w:rsidRDefault="00E95FC0" w:rsidP="0057169E">
      <w:pPr>
        <w:spacing w:after="0" w:line="240" w:lineRule="auto"/>
        <w:contextualSpacing/>
      </w:pPr>
      <w:r>
        <w:rPr>
          <w:rFonts w:ascii="Times New Roman" w:eastAsia="Times New Roman" w:hAnsi="Times New Roman" w:cs="Times New Roman"/>
          <w:sz w:val="24"/>
        </w:rPr>
        <w:t>The case file CACA-52573 is available for review by the public at the BLM California Mother Lode Field Office, 5152 Hillsdale Circle, El Dorado Hills, C</w:t>
      </w:r>
      <w:r w:rsidR="002B0854">
        <w:rPr>
          <w:rFonts w:ascii="Times New Roman" w:eastAsia="Times New Roman" w:hAnsi="Times New Roman" w:cs="Times New Roman"/>
          <w:sz w:val="24"/>
        </w:rPr>
        <w:t>alifornia</w:t>
      </w:r>
      <w:r>
        <w:rPr>
          <w:rFonts w:ascii="Times New Roman" w:eastAsia="Times New Roman" w:hAnsi="Times New Roman" w:cs="Times New Roman"/>
          <w:sz w:val="24"/>
        </w:rPr>
        <w:t xml:space="preserve">  95762</w:t>
      </w:r>
      <w:r w:rsidR="006E12E9">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0C5087" w:rsidRDefault="000C5087" w:rsidP="0057169E">
      <w:pPr>
        <w:tabs>
          <w:tab w:val="left" w:pos="1800"/>
        </w:tabs>
        <w:spacing w:line="240" w:lineRule="auto"/>
        <w:contextualSpacing/>
      </w:pPr>
    </w:p>
    <w:p w:rsidR="000C5087" w:rsidRDefault="00C76298" w:rsidP="0057169E">
      <w:pPr>
        <w:tabs>
          <w:tab w:val="left" w:pos="1800"/>
        </w:tabs>
        <w:spacing w:line="240" w:lineRule="auto"/>
        <w:contextualSpacing/>
      </w:pPr>
      <w:r>
        <w:rPr>
          <w:rFonts w:ascii="Times New Roman" w:eastAsia="Times New Roman" w:hAnsi="Times New Roman" w:cs="Times New Roman"/>
          <w:b/>
          <w:i/>
          <w:sz w:val="24"/>
          <w:u w:val="single"/>
        </w:rPr>
        <w:t>ITEM 12</w:t>
      </w:r>
      <w:r w:rsidR="00E95FC0" w:rsidRPr="00C76298">
        <w:rPr>
          <w:rFonts w:ascii="Times New Roman" w:eastAsia="Times New Roman" w:hAnsi="Times New Roman" w:cs="Times New Roman"/>
          <w:b/>
          <w:i/>
          <w:sz w:val="24"/>
        </w:rPr>
        <w:t xml:space="preserve"> </w:t>
      </w:r>
      <w:r w:rsidR="000931E5">
        <w:rPr>
          <w:rFonts w:ascii="Times New Roman" w:eastAsia="Times New Roman" w:hAnsi="Times New Roman" w:cs="Times New Roman"/>
          <w:b/>
          <w:i/>
          <w:sz w:val="24"/>
        </w:rPr>
        <w:t xml:space="preserve"> </w:t>
      </w:r>
      <w:r w:rsidR="00E95FC0">
        <w:rPr>
          <w:rFonts w:ascii="Times New Roman" w:eastAsia="Times New Roman" w:hAnsi="Times New Roman" w:cs="Times New Roman"/>
          <w:b/>
          <w:i/>
          <w:sz w:val="24"/>
        </w:rPr>
        <w:t>Mineral Report</w:t>
      </w:r>
    </w:p>
    <w:p w:rsidR="0057169E" w:rsidRDefault="0057169E" w:rsidP="0057169E">
      <w:pPr>
        <w:spacing w:line="240" w:lineRule="auto"/>
        <w:contextualSpacing/>
        <w:rPr>
          <w:rFonts w:ascii="Times New Roman" w:eastAsia="Times New Roman" w:hAnsi="Times New Roman" w:cs="Times New Roman"/>
          <w:sz w:val="24"/>
        </w:rPr>
      </w:pPr>
      <w:bookmarkStart w:id="1" w:name="h.gjdgxs" w:colFirst="0" w:colLast="0"/>
      <w:bookmarkEnd w:id="1"/>
    </w:p>
    <w:p w:rsidR="000C5087" w:rsidRDefault="00E95FC0" w:rsidP="0057169E">
      <w:pPr>
        <w:spacing w:line="240" w:lineRule="auto"/>
        <w:contextualSpacing/>
      </w:pPr>
      <w:r>
        <w:rPr>
          <w:rFonts w:ascii="Times New Roman" w:eastAsia="Times New Roman" w:hAnsi="Times New Roman" w:cs="Times New Roman"/>
          <w:sz w:val="24"/>
        </w:rPr>
        <w:t>A mineral report was prepared on May 28, 2014.  The subject lands have low to no potential for the development of mineral resources.  The subject lands have a moderate to high potential for the occurrence of gold and low to moderate potential for the occurrence of chromite and industrial grade limestone, but they have low to no mineral development potential.  With the exception of recreational, hobby scale prospecting activities, there is no significant interest in these mineral resources.  The withdrawal will not substantially interfere with mineral development</w:t>
      </w:r>
      <w:r w:rsidR="002B0854">
        <w:rPr>
          <w:rFonts w:ascii="Times New Roman" w:eastAsia="Times New Roman" w:hAnsi="Times New Roman" w:cs="Times New Roman"/>
          <w:sz w:val="24"/>
        </w:rPr>
        <w:t xml:space="preserve"> opportunities.</w:t>
      </w:r>
    </w:p>
    <w:sectPr w:rsidR="000C50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04" w:rsidRDefault="00B11C04">
      <w:pPr>
        <w:spacing w:after="0" w:line="240" w:lineRule="auto"/>
      </w:pPr>
      <w:r>
        <w:separator/>
      </w:r>
    </w:p>
  </w:endnote>
  <w:endnote w:type="continuationSeparator" w:id="0">
    <w:p w:rsidR="00B11C04" w:rsidRDefault="00B1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84" w:rsidRDefault="009D5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04" w:rsidRPr="000931E5" w:rsidRDefault="00B11C04">
    <w:pPr>
      <w:tabs>
        <w:tab w:val="center" w:pos="4680"/>
        <w:tab w:val="right" w:pos="9360"/>
      </w:tabs>
      <w:spacing w:after="0" w:line="240" w:lineRule="auto"/>
      <w:jc w:val="center"/>
      <w:rPr>
        <w:rFonts w:ascii="Times New Roman" w:hAnsi="Times New Roman" w:cs="Times New Roman"/>
      </w:rPr>
    </w:pPr>
    <w:r w:rsidRPr="000931E5">
      <w:rPr>
        <w:rFonts w:ascii="Times New Roman" w:hAnsi="Times New Roman" w:cs="Times New Roman"/>
      </w:rPr>
      <w:fldChar w:fldCharType="begin"/>
    </w:r>
    <w:r w:rsidRPr="000931E5">
      <w:rPr>
        <w:rFonts w:ascii="Times New Roman" w:hAnsi="Times New Roman" w:cs="Times New Roman"/>
      </w:rPr>
      <w:instrText>PAGE</w:instrText>
    </w:r>
    <w:r w:rsidRPr="000931E5">
      <w:rPr>
        <w:rFonts w:ascii="Times New Roman" w:hAnsi="Times New Roman" w:cs="Times New Roman"/>
      </w:rPr>
      <w:fldChar w:fldCharType="separate"/>
    </w:r>
    <w:r w:rsidR="009D5D84">
      <w:rPr>
        <w:rFonts w:ascii="Times New Roman" w:hAnsi="Times New Roman" w:cs="Times New Roman"/>
        <w:noProof/>
      </w:rPr>
      <w:t>1</w:t>
    </w:r>
    <w:r w:rsidRPr="000931E5">
      <w:rPr>
        <w:rFonts w:ascii="Times New Roman" w:hAnsi="Times New Roman" w:cs="Times New Roman"/>
      </w:rPr>
      <w:fldChar w:fldCharType="end"/>
    </w:r>
  </w:p>
  <w:p w:rsidR="00B11C04" w:rsidRDefault="00B11C04">
    <w:pPr>
      <w:tabs>
        <w:tab w:val="center" w:pos="4680"/>
        <w:tab w:val="right" w:pos="9360"/>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84" w:rsidRDefault="009D5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04" w:rsidRDefault="00B11C04">
      <w:pPr>
        <w:spacing w:after="0" w:line="240" w:lineRule="auto"/>
      </w:pPr>
      <w:r>
        <w:separator/>
      </w:r>
    </w:p>
  </w:footnote>
  <w:footnote w:type="continuationSeparator" w:id="0">
    <w:p w:rsidR="00B11C04" w:rsidRDefault="00B11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84" w:rsidRDefault="009D5D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84" w:rsidRDefault="009D5D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84" w:rsidRDefault="009D5D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0C5087"/>
    <w:rsid w:val="000931E5"/>
    <w:rsid w:val="000C5087"/>
    <w:rsid w:val="001A0D75"/>
    <w:rsid w:val="0025667A"/>
    <w:rsid w:val="00265643"/>
    <w:rsid w:val="002B0854"/>
    <w:rsid w:val="00300E68"/>
    <w:rsid w:val="00354A78"/>
    <w:rsid w:val="004660F4"/>
    <w:rsid w:val="00472D2D"/>
    <w:rsid w:val="0057169E"/>
    <w:rsid w:val="006E12E9"/>
    <w:rsid w:val="008B7537"/>
    <w:rsid w:val="00950289"/>
    <w:rsid w:val="009D5D84"/>
    <w:rsid w:val="00AF7AF1"/>
    <w:rsid w:val="00B11C04"/>
    <w:rsid w:val="00C76298"/>
    <w:rsid w:val="00D17F05"/>
    <w:rsid w:val="00E95FC0"/>
    <w:rsid w:val="00FB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tabs>
        <w:tab w:val="left" w:pos="900"/>
        <w:tab w:val="left" w:pos="1440"/>
        <w:tab w:val="left" w:pos="2160"/>
      </w:tabs>
      <w:spacing w:before="240" w:after="240"/>
      <w:outlineLvl w:val="1"/>
    </w:pPr>
    <w:rPr>
      <w:rFonts w:ascii="Times New Roman" w:eastAsia="Times New Roman" w:hAnsi="Times New Roman" w:cs="Times New Roman"/>
      <w:b/>
      <w:sz w:val="24"/>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093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1E5"/>
  </w:style>
  <w:style w:type="paragraph" w:styleId="Footer">
    <w:name w:val="footer"/>
    <w:basedOn w:val="Normal"/>
    <w:link w:val="FooterChar"/>
    <w:uiPriority w:val="99"/>
    <w:unhideWhenUsed/>
    <w:rsid w:val="00093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tabs>
        <w:tab w:val="left" w:pos="900"/>
        <w:tab w:val="left" w:pos="1440"/>
        <w:tab w:val="left" w:pos="2160"/>
      </w:tabs>
      <w:spacing w:before="240" w:after="240"/>
      <w:outlineLvl w:val="1"/>
    </w:pPr>
    <w:rPr>
      <w:rFonts w:ascii="Times New Roman" w:eastAsia="Times New Roman" w:hAnsi="Times New Roman" w:cs="Times New Roman"/>
      <w:b/>
      <w:sz w:val="24"/>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093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1E5"/>
  </w:style>
  <w:style w:type="paragraph" w:styleId="Footer">
    <w:name w:val="footer"/>
    <w:basedOn w:val="Normal"/>
    <w:link w:val="FooterChar"/>
    <w:uiPriority w:val="99"/>
    <w:unhideWhenUsed/>
    <w:rsid w:val="00093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10950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SECTION 204C REPORT ON THE MINERAL LOCATION AND ENTRY.BH Rev.docx.docx</vt:lpstr>
    </vt:vector>
  </TitlesOfParts>
  <Company>Bureau of Land Management</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204C REPORT ON THE MINERAL LOCATION AND ENTRY.BH Rev.docx.docx</dc:title>
  <dc:creator>Barnes, Michael L</dc:creator>
  <cp:lastModifiedBy>Barnes, Michael L</cp:lastModifiedBy>
  <cp:revision>2</cp:revision>
  <dcterms:created xsi:type="dcterms:W3CDTF">2014-10-16T16:55:00Z</dcterms:created>
  <dcterms:modified xsi:type="dcterms:W3CDTF">2014-10-16T16:55:00Z</dcterms:modified>
</cp:coreProperties>
</file>