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94" w:rsidRPr="00906D94" w:rsidRDefault="00906D94" w:rsidP="00906D94">
      <w:pPr>
        <w:ind w:left="720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6D94">
        <w:rPr>
          <w:rFonts w:ascii="Times New Roman" w:hAnsi="Times New Roman" w:cs="Times New Roman"/>
          <w:b/>
          <w:sz w:val="32"/>
          <w:szCs w:val="32"/>
        </w:rPr>
        <w:t>Holding Agency Relinquishments</w:t>
      </w:r>
    </w:p>
    <w:p w:rsidR="00906D94" w:rsidRPr="00906D94" w:rsidRDefault="00906D94" w:rsidP="00906D94">
      <w:pPr>
        <w:ind w:left="720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D94">
        <w:rPr>
          <w:rFonts w:ascii="Times New Roman" w:hAnsi="Times New Roman" w:cs="Times New Roman"/>
          <w:b/>
          <w:sz w:val="32"/>
          <w:szCs w:val="32"/>
        </w:rPr>
        <w:t>Non-Suitable Determinations</w:t>
      </w:r>
    </w:p>
    <w:p w:rsidR="00906D94" w:rsidRDefault="00906D94" w:rsidP="00906D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6153" w:rsidRPr="00C36153" w:rsidRDefault="00C36153" w:rsidP="00906D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 xml:space="preserve"> 1.</w:t>
      </w:r>
      <w:r w:rsidRPr="00C36153">
        <w:rPr>
          <w:rFonts w:ascii="Times New Roman" w:hAnsi="Times New Roman" w:cs="Times New Roman"/>
          <w:sz w:val="24"/>
          <w:szCs w:val="24"/>
        </w:rPr>
        <w:tab/>
        <w:t xml:space="preserve">Application to relinquish filed </w:t>
      </w:r>
      <w:r w:rsidR="008D0166">
        <w:rPr>
          <w:rFonts w:ascii="Times New Roman" w:hAnsi="Times New Roman" w:cs="Times New Roman"/>
          <w:sz w:val="24"/>
          <w:szCs w:val="24"/>
        </w:rPr>
        <w:t xml:space="preserve">with BLM </w:t>
      </w:r>
      <w:r w:rsidR="00455F56">
        <w:rPr>
          <w:rFonts w:ascii="Times New Roman" w:hAnsi="Times New Roman" w:cs="Times New Roman"/>
          <w:sz w:val="24"/>
          <w:szCs w:val="24"/>
        </w:rPr>
        <w:t xml:space="preserve">and </w:t>
      </w:r>
      <w:r w:rsidR="00906D94">
        <w:rPr>
          <w:rFonts w:ascii="Times New Roman" w:hAnsi="Times New Roman" w:cs="Times New Roman"/>
          <w:sz w:val="24"/>
          <w:szCs w:val="24"/>
        </w:rPr>
        <w:t>General Services Administration (</w:t>
      </w:r>
      <w:r w:rsidR="00455F56">
        <w:rPr>
          <w:rFonts w:ascii="Times New Roman" w:hAnsi="Times New Roman" w:cs="Times New Roman"/>
          <w:sz w:val="24"/>
          <w:szCs w:val="24"/>
        </w:rPr>
        <w:t>GSA</w:t>
      </w:r>
      <w:r w:rsidR="00906D94">
        <w:rPr>
          <w:rFonts w:ascii="Times New Roman" w:hAnsi="Times New Roman" w:cs="Times New Roman"/>
          <w:sz w:val="24"/>
          <w:szCs w:val="24"/>
        </w:rPr>
        <w:t>)</w:t>
      </w:r>
      <w:r w:rsidR="00455F56">
        <w:rPr>
          <w:rFonts w:ascii="Times New Roman" w:hAnsi="Times New Roman" w:cs="Times New Roman"/>
          <w:sz w:val="24"/>
          <w:szCs w:val="24"/>
        </w:rPr>
        <w:t>, (</w:t>
      </w:r>
      <w:r w:rsidR="00455F56" w:rsidRPr="00455F56">
        <w:rPr>
          <w:rFonts w:ascii="Times New Roman" w:hAnsi="Times New Roman" w:cs="Times New Roman"/>
          <w:sz w:val="24"/>
          <w:szCs w:val="24"/>
        </w:rPr>
        <w:t>43 CFR</w:t>
      </w:r>
      <w:r w:rsidR="00455F56">
        <w:rPr>
          <w:rFonts w:ascii="Times New Roman" w:hAnsi="Times New Roman" w:cs="Times New Roman"/>
          <w:sz w:val="24"/>
          <w:szCs w:val="24"/>
        </w:rPr>
        <w:t xml:space="preserve"> 2372.1 &amp; 2)</w:t>
      </w:r>
      <w:r w:rsidR="00F12E3F">
        <w:rPr>
          <w:rFonts w:ascii="Times New Roman" w:hAnsi="Times New Roman" w:cs="Times New Roman"/>
          <w:sz w:val="24"/>
          <w:szCs w:val="24"/>
        </w:rPr>
        <w:t xml:space="preserve"> </w:t>
      </w:r>
      <w:r w:rsidR="00F12E3F" w:rsidRPr="00C36153">
        <w:rPr>
          <w:rFonts w:ascii="Times New Roman" w:hAnsi="Times New Roman" w:cs="Times New Roman"/>
          <w:sz w:val="24"/>
          <w:szCs w:val="24"/>
        </w:rPr>
        <w:t>by the Holding Agency</w:t>
      </w:r>
      <w:r w:rsidR="00455F56">
        <w:rPr>
          <w:rFonts w:ascii="Times New Roman" w:hAnsi="Times New Roman" w:cs="Times New Roman"/>
          <w:sz w:val="24"/>
          <w:szCs w:val="24"/>
        </w:rPr>
        <w:t>.</w:t>
      </w:r>
    </w:p>
    <w:p w:rsidR="00C36153" w:rsidRPr="00C36153" w:rsidRDefault="00C36153" w:rsidP="00C36153">
      <w:pPr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 xml:space="preserve"> 2.</w:t>
      </w:r>
      <w:r w:rsidRPr="00C36153">
        <w:rPr>
          <w:rFonts w:ascii="Times New Roman" w:hAnsi="Times New Roman" w:cs="Times New Roman"/>
          <w:sz w:val="24"/>
          <w:szCs w:val="24"/>
        </w:rPr>
        <w:tab/>
        <w:t>43 CFR Subpart 2372 requirements met</w:t>
      </w:r>
      <w:r w:rsidR="00810118">
        <w:rPr>
          <w:rFonts w:ascii="Times New Roman" w:hAnsi="Times New Roman" w:cs="Times New Roman"/>
          <w:sz w:val="24"/>
          <w:szCs w:val="24"/>
        </w:rPr>
        <w:t xml:space="preserve"> (Holding Agency)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</w:p>
    <w:p w:rsidR="00C36153" w:rsidRPr="00C36153" w:rsidRDefault="00C36153" w:rsidP="00C36153">
      <w:pPr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 xml:space="preserve"> 3.</w:t>
      </w:r>
      <w:r w:rsidRPr="00C36153">
        <w:rPr>
          <w:rFonts w:ascii="Times New Roman" w:hAnsi="Times New Roman" w:cs="Times New Roman"/>
          <w:sz w:val="24"/>
          <w:szCs w:val="24"/>
        </w:rPr>
        <w:tab/>
        <w:t>Letter to the Holding Agency</w:t>
      </w:r>
      <w:r w:rsidR="00D41BD5">
        <w:rPr>
          <w:rFonts w:ascii="Times New Roman" w:hAnsi="Times New Roman" w:cs="Times New Roman"/>
          <w:sz w:val="24"/>
          <w:szCs w:val="24"/>
        </w:rPr>
        <w:t xml:space="preserve"> from BLM</w:t>
      </w:r>
      <w:r w:rsidRPr="00C36153">
        <w:rPr>
          <w:rFonts w:ascii="Times New Roman" w:hAnsi="Times New Roman" w:cs="Times New Roman"/>
          <w:sz w:val="24"/>
          <w:szCs w:val="24"/>
        </w:rPr>
        <w:t xml:space="preserve"> acknowledging receipt of application.</w:t>
      </w:r>
    </w:p>
    <w:p w:rsidR="00C36153" w:rsidRPr="00C36153" w:rsidRDefault="00C36153" w:rsidP="00C36153">
      <w:pPr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 xml:space="preserve"> 4.</w:t>
      </w:r>
      <w:r w:rsidRPr="00C36153">
        <w:rPr>
          <w:rFonts w:ascii="Times New Roman" w:hAnsi="Times New Roman" w:cs="Times New Roman"/>
          <w:sz w:val="24"/>
          <w:szCs w:val="24"/>
        </w:rPr>
        <w:tab/>
        <w:t>Current Land Status (</w:t>
      </w:r>
      <w:r w:rsidRPr="00C36153">
        <w:rPr>
          <w:rFonts w:ascii="Times New Roman" w:hAnsi="Times New Roman" w:cs="Times New Roman"/>
          <w:i/>
          <w:sz w:val="24"/>
          <w:szCs w:val="24"/>
        </w:rPr>
        <w:t>MTP</w:t>
      </w:r>
      <w:r w:rsidRPr="00C36153">
        <w:rPr>
          <w:rFonts w:ascii="Times New Roman" w:hAnsi="Times New Roman" w:cs="Times New Roman"/>
          <w:sz w:val="24"/>
          <w:szCs w:val="24"/>
        </w:rPr>
        <w:t>) filed in the case file</w:t>
      </w:r>
      <w:r w:rsidR="00D41BD5">
        <w:rPr>
          <w:rFonts w:ascii="Times New Roman" w:hAnsi="Times New Roman" w:cs="Times New Roman"/>
          <w:sz w:val="24"/>
          <w:szCs w:val="24"/>
        </w:rPr>
        <w:t xml:space="preserve"> (BLM)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</w:p>
    <w:p w:rsidR="00C36153" w:rsidRPr="00C36153" w:rsidRDefault="00C36153" w:rsidP="00455F5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 xml:space="preserve"> 5.</w:t>
      </w:r>
      <w:r w:rsidRPr="00C36153">
        <w:rPr>
          <w:rFonts w:ascii="Times New Roman" w:hAnsi="Times New Roman" w:cs="Times New Roman"/>
          <w:sz w:val="24"/>
          <w:szCs w:val="24"/>
        </w:rPr>
        <w:tab/>
        <w:t>All holding agencies of overlapping withdrawals notified except FERC</w:t>
      </w:r>
      <w:r w:rsidR="00D41BD5">
        <w:rPr>
          <w:rFonts w:ascii="Times New Roman" w:hAnsi="Times New Roman" w:cs="Times New Roman"/>
          <w:sz w:val="24"/>
          <w:szCs w:val="24"/>
        </w:rPr>
        <w:t xml:space="preserve"> (BLM)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  <w:r w:rsidR="00455F56">
        <w:rPr>
          <w:rFonts w:ascii="Times New Roman" w:hAnsi="Times New Roman" w:cs="Times New Roman"/>
          <w:sz w:val="24"/>
          <w:szCs w:val="24"/>
        </w:rPr>
        <w:t xml:space="preserve"> (*** See Note </w:t>
      </w:r>
      <w:r w:rsidR="00F12E3F">
        <w:rPr>
          <w:rFonts w:ascii="Times New Roman" w:hAnsi="Times New Roman" w:cs="Times New Roman"/>
          <w:sz w:val="24"/>
          <w:szCs w:val="24"/>
        </w:rPr>
        <w:t>b</w:t>
      </w:r>
      <w:r w:rsidR="00455F56">
        <w:rPr>
          <w:rFonts w:ascii="Times New Roman" w:hAnsi="Times New Roman" w:cs="Times New Roman"/>
          <w:sz w:val="24"/>
          <w:szCs w:val="24"/>
        </w:rPr>
        <w:t>elow)</w:t>
      </w:r>
    </w:p>
    <w:p w:rsidR="00C36153" w:rsidRPr="00C36153" w:rsidRDefault="00C36153" w:rsidP="00C36153">
      <w:pPr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 xml:space="preserve"> 6.</w:t>
      </w:r>
      <w:r w:rsidRPr="00C36153">
        <w:rPr>
          <w:rFonts w:ascii="Times New Roman" w:hAnsi="Times New Roman" w:cs="Times New Roman"/>
          <w:sz w:val="24"/>
          <w:szCs w:val="24"/>
        </w:rPr>
        <w:tab/>
        <w:t>State Clearinghouse notified if proposed action is significant</w:t>
      </w:r>
      <w:r w:rsidR="00D41BD5">
        <w:rPr>
          <w:rFonts w:ascii="Times New Roman" w:hAnsi="Times New Roman" w:cs="Times New Roman"/>
          <w:sz w:val="24"/>
          <w:szCs w:val="24"/>
        </w:rPr>
        <w:t xml:space="preserve"> (BLM)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</w:p>
    <w:p w:rsidR="00C36153" w:rsidRPr="00C36153" w:rsidRDefault="00C36153" w:rsidP="00C36153">
      <w:pPr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 xml:space="preserve"> 7.</w:t>
      </w:r>
      <w:r w:rsidRPr="00C36153">
        <w:rPr>
          <w:rFonts w:ascii="Times New Roman" w:hAnsi="Times New Roman" w:cs="Times New Roman"/>
          <w:sz w:val="24"/>
          <w:szCs w:val="24"/>
        </w:rPr>
        <w:tab/>
        <w:t xml:space="preserve">Automated record systems </w:t>
      </w:r>
      <w:r w:rsidR="00390727" w:rsidRPr="00C36153">
        <w:rPr>
          <w:rFonts w:ascii="Times New Roman" w:hAnsi="Times New Roman" w:cs="Times New Roman"/>
          <w:sz w:val="24"/>
          <w:szCs w:val="24"/>
        </w:rPr>
        <w:t>(</w:t>
      </w:r>
      <w:r w:rsidR="00390727" w:rsidRPr="00C36153">
        <w:rPr>
          <w:rFonts w:ascii="Times New Roman" w:hAnsi="Times New Roman" w:cs="Times New Roman"/>
          <w:i/>
          <w:sz w:val="24"/>
          <w:szCs w:val="24"/>
        </w:rPr>
        <w:t>LR2000</w:t>
      </w:r>
      <w:r w:rsidR="00390727" w:rsidRPr="00C36153">
        <w:rPr>
          <w:rFonts w:ascii="Times New Roman" w:hAnsi="Times New Roman" w:cs="Times New Roman"/>
          <w:sz w:val="24"/>
          <w:szCs w:val="24"/>
        </w:rPr>
        <w:t>)</w:t>
      </w:r>
      <w:r w:rsidR="00390727">
        <w:rPr>
          <w:rFonts w:ascii="Times New Roman" w:hAnsi="Times New Roman" w:cs="Times New Roman"/>
          <w:sz w:val="24"/>
          <w:szCs w:val="24"/>
        </w:rPr>
        <w:t xml:space="preserve"> </w:t>
      </w:r>
      <w:r w:rsidRPr="00C36153">
        <w:rPr>
          <w:rFonts w:ascii="Times New Roman" w:hAnsi="Times New Roman" w:cs="Times New Roman"/>
          <w:sz w:val="24"/>
          <w:szCs w:val="24"/>
        </w:rPr>
        <w:t>updated</w:t>
      </w:r>
      <w:r w:rsidR="00D41BD5">
        <w:rPr>
          <w:rFonts w:ascii="Times New Roman" w:hAnsi="Times New Roman" w:cs="Times New Roman"/>
          <w:sz w:val="24"/>
          <w:szCs w:val="24"/>
        </w:rPr>
        <w:t xml:space="preserve"> (BLM)</w:t>
      </w:r>
      <w:r w:rsidRPr="00C361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6153" w:rsidRPr="00C36153" w:rsidRDefault="00C36153" w:rsidP="00C36153">
      <w:pPr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153">
        <w:rPr>
          <w:rFonts w:ascii="Times New Roman" w:hAnsi="Times New Roman" w:cs="Times New Roman"/>
          <w:sz w:val="24"/>
          <w:szCs w:val="24"/>
        </w:rPr>
        <w:t>8.</w:t>
      </w:r>
      <w:r w:rsidRPr="00C36153">
        <w:rPr>
          <w:rFonts w:ascii="Times New Roman" w:hAnsi="Times New Roman" w:cs="Times New Roman"/>
          <w:sz w:val="24"/>
          <w:szCs w:val="24"/>
        </w:rPr>
        <w:tab/>
        <w:t>Request District Land Suitability Determination for Return to PD</w:t>
      </w:r>
      <w:r w:rsidR="00D41BD5">
        <w:rPr>
          <w:rFonts w:ascii="Times New Roman" w:hAnsi="Times New Roman" w:cs="Times New Roman"/>
          <w:sz w:val="24"/>
          <w:szCs w:val="24"/>
        </w:rPr>
        <w:t xml:space="preserve"> (BLM)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153" w:rsidRPr="00C36153" w:rsidRDefault="00C36153" w:rsidP="00C36153">
      <w:pPr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 xml:space="preserve"> 9.</w:t>
      </w:r>
      <w:r w:rsidRPr="00C36153">
        <w:rPr>
          <w:rFonts w:ascii="Times New Roman" w:hAnsi="Times New Roman" w:cs="Times New Roman"/>
          <w:sz w:val="24"/>
          <w:szCs w:val="24"/>
        </w:rPr>
        <w:tab/>
        <w:t xml:space="preserve">Land determined not suitable for return to </w:t>
      </w:r>
      <w:r w:rsidR="00D41BD5">
        <w:rPr>
          <w:rFonts w:ascii="Times New Roman" w:hAnsi="Times New Roman" w:cs="Times New Roman"/>
          <w:sz w:val="24"/>
          <w:szCs w:val="24"/>
        </w:rPr>
        <w:t>public domain status (</w:t>
      </w:r>
      <w:r w:rsidRPr="00C36153">
        <w:rPr>
          <w:rFonts w:ascii="Times New Roman" w:hAnsi="Times New Roman" w:cs="Times New Roman"/>
          <w:sz w:val="24"/>
          <w:szCs w:val="24"/>
        </w:rPr>
        <w:t>BLM</w:t>
      </w:r>
      <w:r w:rsidR="00D41BD5">
        <w:rPr>
          <w:rFonts w:ascii="Times New Roman" w:hAnsi="Times New Roman" w:cs="Times New Roman"/>
          <w:sz w:val="24"/>
          <w:szCs w:val="24"/>
        </w:rPr>
        <w:t>)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</w:p>
    <w:p w:rsidR="00C36153" w:rsidRPr="00C36153" w:rsidRDefault="00C36153" w:rsidP="00C36153">
      <w:pPr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>10.</w:t>
      </w:r>
      <w:r w:rsidRPr="00C36153">
        <w:rPr>
          <w:rFonts w:ascii="Times New Roman" w:hAnsi="Times New Roman" w:cs="Times New Roman"/>
          <w:sz w:val="24"/>
          <w:szCs w:val="24"/>
        </w:rPr>
        <w:tab/>
        <w:t>Environmental documentation (</w:t>
      </w:r>
      <w:r w:rsidRPr="00C36153">
        <w:rPr>
          <w:rFonts w:ascii="Times New Roman" w:hAnsi="Times New Roman" w:cs="Times New Roman"/>
          <w:i/>
          <w:sz w:val="24"/>
          <w:szCs w:val="24"/>
        </w:rPr>
        <w:t>EIS, EA, DNA, or CE</w:t>
      </w:r>
      <w:r w:rsidRPr="00C36153">
        <w:rPr>
          <w:rFonts w:ascii="Times New Roman" w:hAnsi="Times New Roman" w:cs="Times New Roman"/>
          <w:sz w:val="24"/>
          <w:szCs w:val="24"/>
        </w:rPr>
        <w:t>) completed</w:t>
      </w:r>
      <w:r w:rsidR="005039A4">
        <w:rPr>
          <w:rFonts w:ascii="Times New Roman" w:hAnsi="Times New Roman" w:cs="Times New Roman"/>
          <w:sz w:val="24"/>
          <w:szCs w:val="24"/>
        </w:rPr>
        <w:t xml:space="preserve"> if needed</w:t>
      </w:r>
      <w:r w:rsidR="00D41BD5">
        <w:rPr>
          <w:rFonts w:ascii="Times New Roman" w:hAnsi="Times New Roman" w:cs="Times New Roman"/>
          <w:sz w:val="24"/>
          <w:szCs w:val="24"/>
        </w:rPr>
        <w:t xml:space="preserve"> (BLM)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</w:p>
    <w:p w:rsidR="00C36153" w:rsidRDefault="00C36153" w:rsidP="00C36153">
      <w:pPr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>11.</w:t>
      </w:r>
      <w:r w:rsidRPr="00C36153">
        <w:rPr>
          <w:rFonts w:ascii="Times New Roman" w:hAnsi="Times New Roman" w:cs="Times New Roman"/>
          <w:sz w:val="24"/>
          <w:szCs w:val="24"/>
        </w:rPr>
        <w:tab/>
        <w:t>Mineral potential report or summary completed</w:t>
      </w:r>
      <w:r w:rsidR="00D41BD5">
        <w:rPr>
          <w:rFonts w:ascii="Times New Roman" w:hAnsi="Times New Roman" w:cs="Times New Roman"/>
          <w:sz w:val="24"/>
          <w:szCs w:val="24"/>
        </w:rPr>
        <w:t xml:space="preserve"> (BLM)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</w:p>
    <w:p w:rsidR="000F7ED7" w:rsidRDefault="00D94732" w:rsidP="000F7E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0F7ED7" w:rsidRPr="00C36153">
        <w:rPr>
          <w:rFonts w:ascii="Times New Roman" w:hAnsi="Times New Roman" w:cs="Times New Roman"/>
          <w:sz w:val="24"/>
          <w:szCs w:val="24"/>
        </w:rPr>
        <w:t xml:space="preserve">Holding Agency notified of </w:t>
      </w:r>
      <w:r w:rsidR="000F7ED7">
        <w:rPr>
          <w:rFonts w:ascii="Times New Roman" w:hAnsi="Times New Roman" w:cs="Times New Roman"/>
          <w:sz w:val="24"/>
          <w:szCs w:val="24"/>
        </w:rPr>
        <w:t xml:space="preserve">BLM </w:t>
      </w:r>
      <w:r w:rsidR="000F7ED7" w:rsidRPr="00C36153">
        <w:rPr>
          <w:rFonts w:ascii="Times New Roman" w:hAnsi="Times New Roman" w:cs="Times New Roman"/>
          <w:sz w:val="24"/>
          <w:szCs w:val="24"/>
        </w:rPr>
        <w:t>findings and recommendations</w:t>
      </w:r>
      <w:r w:rsidR="000F7ED7">
        <w:rPr>
          <w:rFonts w:ascii="Times New Roman" w:hAnsi="Times New Roman" w:cs="Times New Roman"/>
          <w:sz w:val="24"/>
          <w:szCs w:val="24"/>
        </w:rPr>
        <w:t xml:space="preserve"> and BLM also requests the holding agency to report the excess property and improvements to GSA for appropriate disposal (BLM).</w:t>
      </w:r>
    </w:p>
    <w:p w:rsidR="00C36153" w:rsidRPr="00C36153" w:rsidRDefault="00C36153" w:rsidP="00EF7B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>1</w:t>
      </w:r>
      <w:r w:rsidR="00D94732">
        <w:rPr>
          <w:rFonts w:ascii="Times New Roman" w:hAnsi="Times New Roman" w:cs="Times New Roman"/>
          <w:sz w:val="24"/>
          <w:szCs w:val="24"/>
        </w:rPr>
        <w:t>3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  <w:r w:rsidRPr="00C36153">
        <w:rPr>
          <w:rFonts w:ascii="Times New Roman" w:hAnsi="Times New Roman" w:cs="Times New Roman"/>
          <w:sz w:val="24"/>
          <w:szCs w:val="24"/>
        </w:rPr>
        <w:tab/>
      </w:r>
      <w:r w:rsidR="000F7ED7">
        <w:rPr>
          <w:rFonts w:ascii="Times New Roman" w:hAnsi="Times New Roman" w:cs="Times New Roman"/>
          <w:sz w:val="24"/>
          <w:szCs w:val="24"/>
        </w:rPr>
        <w:t>Holding Agency n</w:t>
      </w:r>
      <w:r w:rsidRPr="00C36153">
        <w:rPr>
          <w:rFonts w:ascii="Times New Roman" w:hAnsi="Times New Roman" w:cs="Times New Roman"/>
          <w:sz w:val="24"/>
          <w:szCs w:val="24"/>
        </w:rPr>
        <w:t>otif</w:t>
      </w:r>
      <w:r w:rsidR="000F7ED7">
        <w:rPr>
          <w:rFonts w:ascii="Times New Roman" w:hAnsi="Times New Roman" w:cs="Times New Roman"/>
          <w:sz w:val="24"/>
          <w:szCs w:val="24"/>
        </w:rPr>
        <w:t>ies</w:t>
      </w:r>
      <w:r w:rsidRPr="00C36153">
        <w:rPr>
          <w:rFonts w:ascii="Times New Roman" w:hAnsi="Times New Roman" w:cs="Times New Roman"/>
          <w:sz w:val="24"/>
          <w:szCs w:val="24"/>
        </w:rPr>
        <w:t xml:space="preserve"> GSA of BLM findings</w:t>
      </w:r>
      <w:r w:rsidR="00EF7BF6">
        <w:rPr>
          <w:rFonts w:ascii="Times New Roman" w:hAnsi="Times New Roman" w:cs="Times New Roman"/>
          <w:sz w:val="24"/>
          <w:szCs w:val="24"/>
        </w:rPr>
        <w:t xml:space="preserve"> (include reservation and </w:t>
      </w:r>
      <w:r w:rsidR="00D94732">
        <w:rPr>
          <w:rFonts w:ascii="Times New Roman" w:hAnsi="Times New Roman" w:cs="Times New Roman"/>
          <w:sz w:val="24"/>
          <w:szCs w:val="24"/>
        </w:rPr>
        <w:t>“</w:t>
      </w:r>
      <w:r w:rsidR="00EF7BF6">
        <w:rPr>
          <w:rFonts w:ascii="Times New Roman" w:hAnsi="Times New Roman" w:cs="Times New Roman"/>
          <w:sz w:val="24"/>
          <w:szCs w:val="24"/>
        </w:rPr>
        <w:t>subject to</w:t>
      </w:r>
      <w:r w:rsidR="00D94732">
        <w:rPr>
          <w:rFonts w:ascii="Times New Roman" w:hAnsi="Times New Roman" w:cs="Times New Roman"/>
          <w:sz w:val="24"/>
          <w:szCs w:val="24"/>
        </w:rPr>
        <w:t>”</w:t>
      </w:r>
      <w:r w:rsidR="00EF7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BF6">
        <w:rPr>
          <w:rFonts w:ascii="Times New Roman" w:hAnsi="Times New Roman" w:cs="Times New Roman"/>
          <w:sz w:val="24"/>
          <w:szCs w:val="24"/>
        </w:rPr>
        <w:t>provisions</w:t>
      </w:r>
      <w:proofErr w:type="gramEnd"/>
      <w:r w:rsidR="00EF7BF6">
        <w:rPr>
          <w:rFonts w:ascii="Times New Roman" w:hAnsi="Times New Roman" w:cs="Times New Roman"/>
          <w:sz w:val="24"/>
          <w:szCs w:val="24"/>
        </w:rPr>
        <w:t xml:space="preserve"> for subsequent disposal by GSA)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  <w:r w:rsidR="00455F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153" w:rsidRPr="00C36153" w:rsidRDefault="00C36153" w:rsidP="00EF7B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>1</w:t>
      </w:r>
      <w:r w:rsidR="00D94732">
        <w:rPr>
          <w:rFonts w:ascii="Times New Roman" w:hAnsi="Times New Roman" w:cs="Times New Roman"/>
          <w:sz w:val="24"/>
          <w:szCs w:val="24"/>
        </w:rPr>
        <w:t>4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  <w:r w:rsidRPr="00C36153">
        <w:rPr>
          <w:rFonts w:ascii="Times New Roman" w:hAnsi="Times New Roman" w:cs="Times New Roman"/>
          <w:sz w:val="24"/>
          <w:szCs w:val="24"/>
        </w:rPr>
        <w:tab/>
        <w:t>GSA concurs that land is not suitable for return to BLM.</w:t>
      </w:r>
      <w:r w:rsidR="00EF7BF6">
        <w:rPr>
          <w:rFonts w:ascii="Times New Roman" w:hAnsi="Times New Roman" w:cs="Times New Roman"/>
          <w:sz w:val="24"/>
          <w:szCs w:val="24"/>
        </w:rPr>
        <w:t xml:space="preserve">  Upon BLM</w:t>
      </w:r>
      <w:r w:rsidR="000F7ED7">
        <w:rPr>
          <w:rFonts w:ascii="Times New Roman" w:hAnsi="Times New Roman" w:cs="Times New Roman"/>
          <w:sz w:val="24"/>
          <w:szCs w:val="24"/>
        </w:rPr>
        <w:t>’s</w:t>
      </w:r>
      <w:r w:rsidR="00EF7BF6">
        <w:rPr>
          <w:rFonts w:ascii="Times New Roman" w:hAnsi="Times New Roman" w:cs="Times New Roman"/>
          <w:sz w:val="24"/>
          <w:szCs w:val="24"/>
        </w:rPr>
        <w:t xml:space="preserve"> receipt of GSA concurrence, BLM considers the land real property subject to the provisions of the Federal Property and Administrative Services Act of 1949 (63 Stat. 377), as amended.  </w:t>
      </w:r>
    </w:p>
    <w:p w:rsidR="005039A4" w:rsidRDefault="00C36153" w:rsidP="00EF7B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6153">
        <w:rPr>
          <w:rFonts w:ascii="Times New Roman" w:hAnsi="Times New Roman" w:cs="Times New Roman"/>
          <w:sz w:val="24"/>
          <w:szCs w:val="24"/>
        </w:rPr>
        <w:t>1</w:t>
      </w:r>
      <w:r w:rsidR="00D94732">
        <w:rPr>
          <w:rFonts w:ascii="Times New Roman" w:hAnsi="Times New Roman" w:cs="Times New Roman"/>
          <w:sz w:val="24"/>
          <w:szCs w:val="24"/>
        </w:rPr>
        <w:t>5</w:t>
      </w:r>
      <w:r w:rsidRPr="00C36153">
        <w:rPr>
          <w:rFonts w:ascii="Times New Roman" w:hAnsi="Times New Roman" w:cs="Times New Roman"/>
          <w:sz w:val="24"/>
          <w:szCs w:val="24"/>
        </w:rPr>
        <w:t>.</w:t>
      </w:r>
      <w:r w:rsidRPr="00C36153">
        <w:rPr>
          <w:rFonts w:ascii="Times New Roman" w:hAnsi="Times New Roman" w:cs="Times New Roman"/>
          <w:sz w:val="24"/>
          <w:szCs w:val="24"/>
        </w:rPr>
        <w:tab/>
      </w:r>
      <w:r w:rsidR="005039A4">
        <w:rPr>
          <w:rFonts w:ascii="Times New Roman" w:hAnsi="Times New Roman" w:cs="Times New Roman"/>
          <w:sz w:val="24"/>
          <w:szCs w:val="24"/>
        </w:rPr>
        <w:t xml:space="preserve">Copy of </w:t>
      </w:r>
      <w:r w:rsidR="00906D94">
        <w:rPr>
          <w:rFonts w:ascii="Times New Roman" w:hAnsi="Times New Roman" w:cs="Times New Roman"/>
          <w:sz w:val="24"/>
          <w:szCs w:val="24"/>
        </w:rPr>
        <w:t xml:space="preserve">BLM’s </w:t>
      </w:r>
      <w:r w:rsidR="005039A4">
        <w:rPr>
          <w:rFonts w:ascii="Times New Roman" w:hAnsi="Times New Roman" w:cs="Times New Roman"/>
          <w:sz w:val="24"/>
          <w:szCs w:val="24"/>
        </w:rPr>
        <w:t xml:space="preserve">Holding Agency letter sent to GSA along with a request that a copy of any </w:t>
      </w:r>
      <w:r w:rsidR="00906D94">
        <w:rPr>
          <w:rFonts w:ascii="Times New Roman" w:hAnsi="Times New Roman" w:cs="Times New Roman"/>
          <w:sz w:val="24"/>
          <w:szCs w:val="24"/>
        </w:rPr>
        <w:t>future transfer document be sent to BLM in order for BLM to close the withdrawal case and note the land status records</w:t>
      </w:r>
      <w:r w:rsidR="00D41BD5">
        <w:rPr>
          <w:rFonts w:ascii="Times New Roman" w:hAnsi="Times New Roman" w:cs="Times New Roman"/>
          <w:sz w:val="24"/>
          <w:szCs w:val="24"/>
        </w:rPr>
        <w:t xml:space="preserve"> (Holding Agency)</w:t>
      </w:r>
      <w:r w:rsidR="00906D94">
        <w:rPr>
          <w:rFonts w:ascii="Times New Roman" w:hAnsi="Times New Roman" w:cs="Times New Roman"/>
          <w:sz w:val="24"/>
          <w:szCs w:val="24"/>
        </w:rPr>
        <w:t>.</w:t>
      </w:r>
    </w:p>
    <w:p w:rsidR="00455F56" w:rsidRDefault="00455F56" w:rsidP="00EF7B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  <w:r>
        <w:rPr>
          <w:rFonts w:ascii="Times New Roman" w:hAnsi="Times New Roman" w:cs="Times New Roman"/>
          <w:sz w:val="24"/>
          <w:szCs w:val="24"/>
        </w:rPr>
        <w:tab/>
        <w:t>If there is another agency holding an overlapping w</w:t>
      </w:r>
      <w:r w:rsidR="008D0166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>d</w:t>
      </w:r>
      <w:r w:rsidR="008D0166">
        <w:rPr>
          <w:rFonts w:ascii="Times New Roman" w:hAnsi="Times New Roman" w:cs="Times New Roman"/>
          <w:sz w:val="24"/>
          <w:szCs w:val="24"/>
        </w:rPr>
        <w:t>rawa</w:t>
      </w:r>
      <w:r>
        <w:rPr>
          <w:rFonts w:ascii="Times New Roman" w:hAnsi="Times New Roman" w:cs="Times New Roman"/>
          <w:sz w:val="24"/>
          <w:szCs w:val="24"/>
        </w:rPr>
        <w:t>l, that agency will be asked to review the relinquishment application and insure the lands are free of potential contaminations, a rare event.</w:t>
      </w:r>
    </w:p>
    <w:p w:rsidR="00906D94" w:rsidRPr="00906D94" w:rsidRDefault="00906D94" w:rsidP="00906D9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906D94">
        <w:rPr>
          <w:rFonts w:ascii="Times New Roman" w:hAnsi="Times New Roman" w:cs="Times New Roman"/>
          <w:color w:val="0000FF"/>
          <w:sz w:val="24"/>
          <w:szCs w:val="24"/>
        </w:rPr>
        <w:t xml:space="preserve">There are no public meetings held by the BLM to facilitate this process.  </w:t>
      </w:r>
      <w:r w:rsidR="00F12E3F">
        <w:rPr>
          <w:rFonts w:ascii="Times New Roman" w:hAnsi="Times New Roman" w:cs="Times New Roman"/>
          <w:color w:val="0000FF"/>
          <w:sz w:val="24"/>
          <w:szCs w:val="24"/>
        </w:rPr>
        <w:t xml:space="preserve">The </w:t>
      </w:r>
      <w:r w:rsidRPr="00906D94">
        <w:rPr>
          <w:rFonts w:ascii="Times New Roman" w:hAnsi="Times New Roman" w:cs="Times New Roman"/>
          <w:color w:val="0000FF"/>
          <w:sz w:val="24"/>
          <w:szCs w:val="24"/>
        </w:rPr>
        <w:t xml:space="preserve">GSA will use standard protocol </w:t>
      </w:r>
      <w:r>
        <w:rPr>
          <w:rFonts w:ascii="Times New Roman" w:hAnsi="Times New Roman" w:cs="Times New Roman"/>
          <w:color w:val="0000FF"/>
          <w:sz w:val="24"/>
          <w:szCs w:val="24"/>
        </w:rPr>
        <w:t>for</w:t>
      </w:r>
      <w:r w:rsidRPr="00906D94">
        <w:rPr>
          <w:rFonts w:ascii="Times New Roman" w:hAnsi="Times New Roman" w:cs="Times New Roman"/>
          <w:color w:val="0000FF"/>
          <w:sz w:val="24"/>
          <w:szCs w:val="24"/>
        </w:rPr>
        <w:t xml:space="preserve"> subsequent disposal per GSA rules.  The holding agency and the BLM may make suggestions as to who should receive the property but</w:t>
      </w:r>
      <w:r w:rsidR="00F12E3F">
        <w:rPr>
          <w:rFonts w:ascii="Times New Roman" w:hAnsi="Times New Roman" w:cs="Times New Roman"/>
          <w:color w:val="0000FF"/>
          <w:sz w:val="24"/>
          <w:szCs w:val="24"/>
        </w:rPr>
        <w:t xml:space="preserve"> the</w:t>
      </w:r>
      <w:r w:rsidRPr="00906D94">
        <w:rPr>
          <w:rFonts w:ascii="Times New Roman" w:hAnsi="Times New Roman" w:cs="Times New Roman"/>
          <w:color w:val="0000FF"/>
          <w:sz w:val="24"/>
          <w:szCs w:val="24"/>
        </w:rPr>
        <w:t xml:space="preserve"> BLM cannot make any commitments or guarantees to 3</w:t>
      </w:r>
      <w:r w:rsidRPr="00906D94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rd</w:t>
      </w:r>
      <w:r w:rsidRPr="00906D94">
        <w:rPr>
          <w:rFonts w:ascii="Times New Roman" w:hAnsi="Times New Roman" w:cs="Times New Roman"/>
          <w:color w:val="0000FF"/>
          <w:sz w:val="24"/>
          <w:szCs w:val="24"/>
        </w:rPr>
        <w:t xml:space="preserve"> party interests.</w:t>
      </w:r>
    </w:p>
    <w:sectPr w:rsidR="00906D94" w:rsidRPr="00906D94" w:rsidSect="003948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D7" w:rsidRDefault="000F7ED7" w:rsidP="00BD4805">
      <w:pPr>
        <w:spacing w:after="0" w:line="240" w:lineRule="auto"/>
      </w:pPr>
      <w:r>
        <w:separator/>
      </w:r>
    </w:p>
  </w:endnote>
  <w:endnote w:type="continuationSeparator" w:id="0">
    <w:p w:rsidR="000F7ED7" w:rsidRDefault="000F7ED7" w:rsidP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221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F7ED7" w:rsidRPr="00BD4805" w:rsidRDefault="000F7ED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48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48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48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48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D48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F7ED7" w:rsidRDefault="000F7ED7">
    <w:pPr>
      <w:pStyle w:val="Footer"/>
    </w:pPr>
    <w:proofErr w:type="spellStart"/>
    <w:r>
      <w:t>MLBarnes</w:t>
    </w:r>
    <w:proofErr w:type="spellEnd"/>
    <w:r>
      <w:t>/02/15/2011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D7" w:rsidRDefault="000F7ED7" w:rsidP="00BD4805">
      <w:pPr>
        <w:spacing w:after="0" w:line="240" w:lineRule="auto"/>
      </w:pPr>
      <w:r>
        <w:separator/>
      </w:r>
    </w:p>
  </w:footnote>
  <w:footnote w:type="continuationSeparator" w:id="0">
    <w:p w:rsidR="000F7ED7" w:rsidRDefault="000F7ED7" w:rsidP="00BD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53"/>
    <w:rsid w:val="000424AF"/>
    <w:rsid w:val="000F7ED7"/>
    <w:rsid w:val="00135FA6"/>
    <w:rsid w:val="001556CB"/>
    <w:rsid w:val="002D71E0"/>
    <w:rsid w:val="003018C9"/>
    <w:rsid w:val="00390727"/>
    <w:rsid w:val="0039488E"/>
    <w:rsid w:val="00455F56"/>
    <w:rsid w:val="005039A4"/>
    <w:rsid w:val="00561DD5"/>
    <w:rsid w:val="005D048A"/>
    <w:rsid w:val="00620A31"/>
    <w:rsid w:val="00810118"/>
    <w:rsid w:val="008452AC"/>
    <w:rsid w:val="008655FF"/>
    <w:rsid w:val="008820AD"/>
    <w:rsid w:val="008C04CB"/>
    <w:rsid w:val="008D0166"/>
    <w:rsid w:val="00906D94"/>
    <w:rsid w:val="009E747C"/>
    <w:rsid w:val="00AF461F"/>
    <w:rsid w:val="00BD4805"/>
    <w:rsid w:val="00C36153"/>
    <w:rsid w:val="00D41BD5"/>
    <w:rsid w:val="00D94732"/>
    <w:rsid w:val="00EF7BF6"/>
    <w:rsid w:val="00F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05"/>
  </w:style>
  <w:style w:type="paragraph" w:styleId="Footer">
    <w:name w:val="footer"/>
    <w:basedOn w:val="Normal"/>
    <w:link w:val="FooterChar"/>
    <w:uiPriority w:val="99"/>
    <w:unhideWhenUsed/>
    <w:rsid w:val="00BD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05"/>
  </w:style>
  <w:style w:type="paragraph" w:styleId="BalloonText">
    <w:name w:val="Balloon Text"/>
    <w:basedOn w:val="Normal"/>
    <w:link w:val="BalloonTextChar"/>
    <w:uiPriority w:val="99"/>
    <w:semiHidden/>
    <w:unhideWhenUsed/>
    <w:rsid w:val="008D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05"/>
  </w:style>
  <w:style w:type="paragraph" w:styleId="Footer">
    <w:name w:val="footer"/>
    <w:basedOn w:val="Normal"/>
    <w:link w:val="FooterChar"/>
    <w:uiPriority w:val="99"/>
    <w:unhideWhenUsed/>
    <w:rsid w:val="00BD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05"/>
  </w:style>
  <w:style w:type="paragraph" w:styleId="BalloonText">
    <w:name w:val="Balloon Text"/>
    <w:basedOn w:val="Normal"/>
    <w:link w:val="BalloonTextChar"/>
    <w:uiPriority w:val="99"/>
    <w:semiHidden/>
    <w:unhideWhenUsed/>
    <w:rsid w:val="008D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m1barnes</dc:creator>
  <cp:lastModifiedBy>Barnes, Michael L</cp:lastModifiedBy>
  <cp:revision>3</cp:revision>
  <cp:lastPrinted>2014-10-18T21:20:00Z</cp:lastPrinted>
  <dcterms:created xsi:type="dcterms:W3CDTF">2014-10-18T21:11:00Z</dcterms:created>
  <dcterms:modified xsi:type="dcterms:W3CDTF">2014-10-18T21:20:00Z</dcterms:modified>
</cp:coreProperties>
</file>