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42" w:rsidRDefault="00694542" w:rsidP="003B449E">
      <w:pPr>
        <w:pStyle w:val="NoSpacing"/>
        <w:jc w:val="center"/>
        <w:rPr>
          <w:b/>
          <w:sz w:val="24"/>
          <w:szCs w:val="24"/>
        </w:rPr>
      </w:pPr>
    </w:p>
    <w:p w:rsidR="005021B9" w:rsidRPr="003B449E" w:rsidRDefault="005021B9" w:rsidP="003B449E">
      <w:pPr>
        <w:pStyle w:val="NoSpacing"/>
        <w:jc w:val="center"/>
        <w:rPr>
          <w:b/>
          <w:sz w:val="24"/>
          <w:szCs w:val="24"/>
        </w:rPr>
      </w:pPr>
      <w:r w:rsidRPr="003B449E">
        <w:rPr>
          <w:b/>
          <w:sz w:val="24"/>
          <w:szCs w:val="24"/>
        </w:rPr>
        <w:t>Exchange</w:t>
      </w:r>
    </w:p>
    <w:p w:rsidR="00D20311" w:rsidRPr="00C53794" w:rsidRDefault="00314EC9" w:rsidP="003B449E">
      <w:pPr>
        <w:pStyle w:val="NoSpacing"/>
        <w:jc w:val="center"/>
        <w:rPr>
          <w:b/>
          <w:sz w:val="26"/>
          <w:szCs w:val="26"/>
        </w:rPr>
      </w:pPr>
      <w:r w:rsidRPr="00C53794">
        <w:rPr>
          <w:b/>
          <w:sz w:val="26"/>
          <w:szCs w:val="26"/>
        </w:rPr>
        <w:t>Scoping and NEPA Analysis</w:t>
      </w:r>
    </w:p>
    <w:p w:rsidR="00322074" w:rsidRDefault="00322074" w:rsidP="00322074">
      <w:pPr>
        <w:pStyle w:val="NumberList1"/>
        <w:spacing w:before="0"/>
        <w:ind w:left="0"/>
        <w:rPr>
          <w:rFonts w:asciiTheme="minorHAnsi" w:hAnsiTheme="minorHAnsi"/>
          <w:sz w:val="22"/>
          <w:szCs w:val="22"/>
          <w:u w:val="single"/>
        </w:rPr>
      </w:pPr>
    </w:p>
    <w:p w:rsidR="002666CD" w:rsidRDefault="002666CD" w:rsidP="00322074">
      <w:pPr>
        <w:pStyle w:val="NumberList1"/>
        <w:spacing w:before="0"/>
        <w:ind w:left="0"/>
        <w:rPr>
          <w:rFonts w:asciiTheme="minorHAnsi" w:hAnsiTheme="minorHAnsi"/>
          <w:sz w:val="22"/>
          <w:szCs w:val="22"/>
          <w:u w:val="single"/>
        </w:rPr>
      </w:pPr>
    </w:p>
    <w:p w:rsidR="00FD2E47" w:rsidRDefault="00322074" w:rsidP="00322074">
      <w:pPr>
        <w:pStyle w:val="NumberList1"/>
        <w:spacing w:before="0"/>
        <w:ind w:left="0"/>
        <w:rPr>
          <w:rFonts w:asciiTheme="minorHAnsi" w:hAnsiTheme="minorHAnsi"/>
          <w:sz w:val="22"/>
          <w:szCs w:val="22"/>
        </w:rPr>
      </w:pPr>
      <w:r w:rsidRPr="00322074">
        <w:rPr>
          <w:rFonts w:asciiTheme="minorHAnsi" w:hAnsiTheme="minorHAnsi"/>
          <w:sz w:val="22"/>
          <w:szCs w:val="22"/>
        </w:rPr>
        <w:t>After an Agreement to Initiate (ATI) has been signed, the authorized officer is responsible for proceeding with the appropriate level of environmental analysis in accordance with the National Environmental Policy Act (NEPA) of 1969 (P.L</w:t>
      </w:r>
      <w:r w:rsidRPr="00C9162A">
        <w:rPr>
          <w:rFonts w:asciiTheme="minorHAnsi" w:hAnsiTheme="minorHAnsi"/>
          <w:sz w:val="22"/>
          <w:szCs w:val="22"/>
        </w:rPr>
        <w:t xml:space="preserve">. </w:t>
      </w:r>
      <w:r w:rsidR="00C9162A">
        <w:rPr>
          <w:rFonts w:asciiTheme="minorHAnsi" w:hAnsiTheme="minorHAnsi"/>
          <w:sz w:val="22"/>
          <w:szCs w:val="22"/>
        </w:rPr>
        <w:t>91-190, 83 Stat. 852; 4</w:t>
      </w:r>
      <w:r w:rsidRPr="00322074">
        <w:rPr>
          <w:rFonts w:asciiTheme="minorHAnsi" w:hAnsiTheme="minorHAnsi"/>
          <w:sz w:val="22"/>
          <w:szCs w:val="22"/>
        </w:rPr>
        <w:t>2 U.S.C. 4321-434</w:t>
      </w:r>
      <w:r w:rsidR="00C9162A">
        <w:rPr>
          <w:rFonts w:asciiTheme="minorHAnsi" w:hAnsiTheme="minorHAnsi"/>
          <w:sz w:val="22"/>
          <w:szCs w:val="22"/>
        </w:rPr>
        <w:t>7</w:t>
      </w:r>
      <w:r w:rsidRPr="00322074">
        <w:rPr>
          <w:rFonts w:asciiTheme="minorHAnsi" w:hAnsiTheme="minorHAnsi"/>
          <w:sz w:val="22"/>
          <w:szCs w:val="22"/>
        </w:rPr>
        <w:t xml:space="preserve">) and </w:t>
      </w:r>
      <w:r w:rsidR="00323D08">
        <w:rPr>
          <w:rFonts w:asciiTheme="minorHAnsi" w:hAnsiTheme="minorHAnsi"/>
          <w:sz w:val="22"/>
          <w:szCs w:val="22"/>
        </w:rPr>
        <w:t>a</w:t>
      </w:r>
      <w:r w:rsidRPr="00322074">
        <w:rPr>
          <w:rFonts w:asciiTheme="minorHAnsi" w:hAnsiTheme="minorHAnsi"/>
          <w:sz w:val="22"/>
          <w:szCs w:val="22"/>
        </w:rPr>
        <w:t>gency policies and procedures.</w:t>
      </w:r>
      <w:r w:rsidR="00390D50">
        <w:rPr>
          <w:rFonts w:asciiTheme="minorHAnsi" w:hAnsiTheme="minorHAnsi"/>
          <w:sz w:val="22"/>
          <w:szCs w:val="22"/>
        </w:rPr>
        <w:t xml:space="preserve"> </w:t>
      </w:r>
      <w:r w:rsidR="00094326">
        <w:rPr>
          <w:rFonts w:asciiTheme="minorHAnsi" w:hAnsiTheme="minorHAnsi"/>
          <w:sz w:val="22"/>
          <w:szCs w:val="22"/>
        </w:rPr>
        <w:t>Scoping is t</w:t>
      </w:r>
      <w:r w:rsidR="007E72B9">
        <w:rPr>
          <w:rFonts w:asciiTheme="minorHAnsi" w:hAnsiTheme="minorHAnsi"/>
          <w:sz w:val="22"/>
          <w:szCs w:val="22"/>
        </w:rPr>
        <w:t xml:space="preserve">he procedure by which the FS </w:t>
      </w:r>
      <w:r w:rsidR="005D65EC">
        <w:rPr>
          <w:rFonts w:asciiTheme="minorHAnsi" w:hAnsiTheme="minorHAnsi"/>
          <w:sz w:val="22"/>
          <w:szCs w:val="22"/>
        </w:rPr>
        <w:t xml:space="preserve">identifies preliminary issues and </w:t>
      </w:r>
      <w:r w:rsidR="007E72B9">
        <w:rPr>
          <w:rFonts w:asciiTheme="minorHAnsi" w:hAnsiTheme="minorHAnsi"/>
          <w:sz w:val="22"/>
          <w:szCs w:val="22"/>
        </w:rPr>
        <w:t>determines the extent of analysis necessary for an informed decision on a proposed action</w:t>
      </w:r>
      <w:r w:rsidR="005D65EC">
        <w:rPr>
          <w:rFonts w:asciiTheme="minorHAnsi" w:hAnsiTheme="minorHAnsi"/>
          <w:sz w:val="22"/>
          <w:szCs w:val="22"/>
        </w:rPr>
        <w:t>.</w:t>
      </w:r>
      <w:r w:rsidR="00FD2E47">
        <w:rPr>
          <w:rFonts w:asciiTheme="minorHAnsi" w:hAnsiTheme="minorHAnsi"/>
          <w:sz w:val="22"/>
          <w:szCs w:val="22"/>
        </w:rPr>
        <w:t xml:space="preserve"> </w:t>
      </w:r>
      <w:r w:rsidR="005D65EC">
        <w:rPr>
          <w:rFonts w:asciiTheme="minorHAnsi" w:hAnsiTheme="minorHAnsi"/>
          <w:sz w:val="22"/>
          <w:szCs w:val="22"/>
        </w:rPr>
        <w:t>I</w:t>
      </w:r>
      <w:r w:rsidR="00FD2E47">
        <w:rPr>
          <w:rFonts w:asciiTheme="minorHAnsi" w:hAnsiTheme="minorHAnsi"/>
          <w:sz w:val="22"/>
          <w:szCs w:val="22"/>
        </w:rPr>
        <w:t xml:space="preserve">t is </w:t>
      </w:r>
      <w:r w:rsidR="00094326">
        <w:rPr>
          <w:rFonts w:asciiTheme="minorHAnsi" w:hAnsiTheme="minorHAnsi"/>
          <w:sz w:val="22"/>
          <w:szCs w:val="22"/>
        </w:rPr>
        <w:t>required for all proposed land exchanges</w:t>
      </w:r>
      <w:r w:rsidR="00FD2E47">
        <w:rPr>
          <w:rFonts w:asciiTheme="minorHAnsi" w:hAnsiTheme="minorHAnsi"/>
          <w:sz w:val="22"/>
          <w:szCs w:val="22"/>
        </w:rPr>
        <w:t>.</w:t>
      </w:r>
    </w:p>
    <w:p w:rsidR="00FD2E47" w:rsidRDefault="00FD2E47" w:rsidP="00322074">
      <w:pPr>
        <w:pStyle w:val="NumberList1"/>
        <w:spacing w:before="0"/>
        <w:ind w:left="0"/>
        <w:rPr>
          <w:rFonts w:asciiTheme="minorHAnsi" w:hAnsiTheme="minorHAnsi"/>
          <w:sz w:val="22"/>
          <w:szCs w:val="22"/>
        </w:rPr>
      </w:pPr>
    </w:p>
    <w:p w:rsidR="00DE3632" w:rsidRDefault="00A402D3" w:rsidP="00322074">
      <w:pPr>
        <w:pStyle w:val="NumberList1"/>
        <w:spacing w:before="0"/>
        <w:ind w:left="0"/>
        <w:rPr>
          <w:rFonts w:asciiTheme="minorHAnsi" w:hAnsiTheme="minorHAnsi"/>
          <w:sz w:val="22"/>
          <w:szCs w:val="22"/>
        </w:rPr>
      </w:pPr>
      <w:r>
        <w:rPr>
          <w:rFonts w:asciiTheme="minorHAnsi" w:hAnsiTheme="minorHAnsi"/>
          <w:sz w:val="22"/>
          <w:szCs w:val="22"/>
        </w:rPr>
        <w:t>The Notice of Exchange Proposal (NOEP) (36 CFR 254.8) may serve as notification for scoping under NEPA, except where the proposed exchange is complex or controversial and a</w:t>
      </w:r>
      <w:r w:rsidR="001621BD">
        <w:rPr>
          <w:rFonts w:asciiTheme="minorHAnsi" w:hAnsiTheme="minorHAnsi"/>
          <w:sz w:val="22"/>
          <w:szCs w:val="22"/>
        </w:rPr>
        <w:t xml:space="preserve"> </w:t>
      </w:r>
      <w:r>
        <w:rPr>
          <w:rFonts w:asciiTheme="minorHAnsi" w:hAnsiTheme="minorHAnsi"/>
          <w:sz w:val="22"/>
          <w:szCs w:val="22"/>
        </w:rPr>
        <w:t>more extensive notice an</w:t>
      </w:r>
      <w:r w:rsidR="001621BD">
        <w:rPr>
          <w:rFonts w:asciiTheme="minorHAnsi" w:hAnsiTheme="minorHAnsi"/>
          <w:sz w:val="22"/>
          <w:szCs w:val="22"/>
        </w:rPr>
        <w:t>d</w:t>
      </w:r>
      <w:r>
        <w:rPr>
          <w:rFonts w:asciiTheme="minorHAnsi" w:hAnsiTheme="minorHAnsi"/>
          <w:sz w:val="22"/>
          <w:szCs w:val="22"/>
        </w:rPr>
        <w:t xml:space="preserve"> comment process is needed to address the issues and concerns. </w:t>
      </w:r>
      <w:r w:rsidR="005D65EC" w:rsidRPr="00322074">
        <w:rPr>
          <w:rFonts w:asciiTheme="minorHAnsi" w:hAnsiTheme="minorHAnsi"/>
          <w:sz w:val="22"/>
          <w:szCs w:val="22"/>
        </w:rPr>
        <w:t xml:space="preserve">As part of </w:t>
      </w:r>
      <w:r w:rsidR="005D65EC">
        <w:rPr>
          <w:rFonts w:asciiTheme="minorHAnsi" w:hAnsiTheme="minorHAnsi"/>
          <w:sz w:val="22"/>
          <w:szCs w:val="22"/>
        </w:rPr>
        <w:t xml:space="preserve">the scoping process, invite </w:t>
      </w:r>
      <w:r w:rsidR="005D65EC" w:rsidRPr="00322074">
        <w:rPr>
          <w:rFonts w:asciiTheme="minorHAnsi" w:hAnsiTheme="minorHAnsi"/>
          <w:sz w:val="22"/>
          <w:szCs w:val="22"/>
        </w:rPr>
        <w:t xml:space="preserve">affected </w:t>
      </w:r>
      <w:r w:rsidR="005D65EC">
        <w:rPr>
          <w:rFonts w:asciiTheme="minorHAnsi" w:hAnsiTheme="minorHAnsi"/>
          <w:sz w:val="22"/>
          <w:szCs w:val="22"/>
        </w:rPr>
        <w:t>federal, state</w:t>
      </w:r>
      <w:r w:rsidR="005D65EC" w:rsidRPr="00322074">
        <w:rPr>
          <w:rFonts w:asciiTheme="minorHAnsi" w:hAnsiTheme="minorHAnsi"/>
          <w:sz w:val="22"/>
          <w:szCs w:val="22"/>
        </w:rPr>
        <w:t xml:space="preserve">, </w:t>
      </w:r>
      <w:r w:rsidR="005D65EC">
        <w:rPr>
          <w:rFonts w:asciiTheme="minorHAnsi" w:hAnsiTheme="minorHAnsi"/>
          <w:sz w:val="22"/>
          <w:szCs w:val="22"/>
        </w:rPr>
        <w:t xml:space="preserve">and </w:t>
      </w:r>
      <w:r w:rsidR="005D65EC" w:rsidRPr="00322074">
        <w:rPr>
          <w:rFonts w:asciiTheme="minorHAnsi" w:hAnsiTheme="minorHAnsi"/>
          <w:sz w:val="22"/>
          <w:szCs w:val="22"/>
        </w:rPr>
        <w:t xml:space="preserve">local </w:t>
      </w:r>
      <w:r w:rsidR="005D65EC">
        <w:rPr>
          <w:rFonts w:asciiTheme="minorHAnsi" w:hAnsiTheme="minorHAnsi"/>
          <w:sz w:val="22"/>
          <w:szCs w:val="22"/>
        </w:rPr>
        <w:t>agencie</w:t>
      </w:r>
      <w:r w:rsidR="005D65EC" w:rsidRPr="00322074">
        <w:rPr>
          <w:rFonts w:asciiTheme="minorHAnsi" w:hAnsiTheme="minorHAnsi"/>
          <w:sz w:val="22"/>
          <w:szCs w:val="22"/>
        </w:rPr>
        <w:t>s</w:t>
      </w:r>
      <w:r w:rsidR="005D65EC">
        <w:rPr>
          <w:rFonts w:asciiTheme="minorHAnsi" w:hAnsiTheme="minorHAnsi"/>
          <w:sz w:val="22"/>
          <w:szCs w:val="22"/>
        </w:rPr>
        <w:t>;</w:t>
      </w:r>
      <w:r w:rsidR="005D65EC" w:rsidRPr="00322074">
        <w:rPr>
          <w:rFonts w:asciiTheme="minorHAnsi" w:hAnsiTheme="minorHAnsi"/>
          <w:sz w:val="22"/>
          <w:szCs w:val="22"/>
        </w:rPr>
        <w:t xml:space="preserve"> congressional delegations</w:t>
      </w:r>
      <w:r w:rsidR="005D65EC">
        <w:rPr>
          <w:rFonts w:asciiTheme="minorHAnsi" w:hAnsiTheme="minorHAnsi"/>
          <w:sz w:val="22"/>
          <w:szCs w:val="22"/>
        </w:rPr>
        <w:t>;</w:t>
      </w:r>
      <w:r w:rsidR="005D65EC" w:rsidRPr="00322074">
        <w:rPr>
          <w:rFonts w:asciiTheme="minorHAnsi" w:hAnsiTheme="minorHAnsi"/>
          <w:sz w:val="22"/>
          <w:szCs w:val="22"/>
        </w:rPr>
        <w:t xml:space="preserve"> potentially affected </w:t>
      </w:r>
      <w:r w:rsidR="005D65EC">
        <w:rPr>
          <w:rFonts w:asciiTheme="minorHAnsi" w:hAnsiTheme="minorHAnsi"/>
          <w:sz w:val="22"/>
          <w:szCs w:val="22"/>
        </w:rPr>
        <w:t>Federal</w:t>
      </w:r>
      <w:r w:rsidR="005D65EC" w:rsidRPr="00322074">
        <w:rPr>
          <w:rFonts w:asciiTheme="minorHAnsi" w:hAnsiTheme="minorHAnsi"/>
          <w:sz w:val="22"/>
          <w:szCs w:val="22"/>
        </w:rPr>
        <w:t>ly Recognized Tribes</w:t>
      </w:r>
      <w:r w:rsidR="005D65EC">
        <w:rPr>
          <w:rFonts w:asciiTheme="minorHAnsi" w:hAnsiTheme="minorHAnsi"/>
          <w:sz w:val="22"/>
          <w:szCs w:val="22"/>
        </w:rPr>
        <w:t>;</w:t>
      </w:r>
      <w:r w:rsidR="005D65EC" w:rsidRPr="00322074">
        <w:rPr>
          <w:rFonts w:asciiTheme="minorHAnsi" w:hAnsiTheme="minorHAnsi"/>
          <w:sz w:val="22"/>
          <w:szCs w:val="22"/>
        </w:rPr>
        <w:t xml:space="preserve"> affected holders of special use authorizations</w:t>
      </w:r>
      <w:r w:rsidR="005D65EC">
        <w:rPr>
          <w:rFonts w:asciiTheme="minorHAnsi" w:hAnsiTheme="minorHAnsi"/>
          <w:sz w:val="22"/>
          <w:szCs w:val="22"/>
        </w:rPr>
        <w:t xml:space="preserve"> and </w:t>
      </w:r>
      <w:r w:rsidR="005D65EC" w:rsidRPr="00322074">
        <w:rPr>
          <w:rFonts w:asciiTheme="minorHAnsi" w:hAnsiTheme="minorHAnsi"/>
          <w:sz w:val="22"/>
          <w:szCs w:val="22"/>
        </w:rPr>
        <w:t>grazing allo</w:t>
      </w:r>
      <w:r w:rsidR="005D65EC">
        <w:rPr>
          <w:rFonts w:asciiTheme="minorHAnsi" w:hAnsiTheme="minorHAnsi"/>
          <w:sz w:val="22"/>
          <w:szCs w:val="22"/>
        </w:rPr>
        <w:t>tment permit</w:t>
      </w:r>
      <w:r w:rsidR="005D65EC" w:rsidRPr="00322074">
        <w:rPr>
          <w:rFonts w:asciiTheme="minorHAnsi" w:hAnsiTheme="minorHAnsi"/>
          <w:sz w:val="22"/>
          <w:szCs w:val="22"/>
        </w:rPr>
        <w:t>s</w:t>
      </w:r>
      <w:r w:rsidR="005D65EC">
        <w:rPr>
          <w:rFonts w:asciiTheme="minorHAnsi" w:hAnsiTheme="minorHAnsi"/>
          <w:sz w:val="22"/>
          <w:szCs w:val="22"/>
        </w:rPr>
        <w:t>;</w:t>
      </w:r>
      <w:r w:rsidR="005D65EC" w:rsidRPr="00322074">
        <w:rPr>
          <w:rFonts w:asciiTheme="minorHAnsi" w:hAnsiTheme="minorHAnsi"/>
          <w:sz w:val="22"/>
          <w:szCs w:val="22"/>
        </w:rPr>
        <w:t xml:space="preserve"> claimants of unpatented mining claims</w:t>
      </w:r>
      <w:r w:rsidR="005D65EC">
        <w:rPr>
          <w:rFonts w:asciiTheme="minorHAnsi" w:hAnsiTheme="minorHAnsi"/>
          <w:sz w:val="22"/>
          <w:szCs w:val="22"/>
        </w:rPr>
        <w:t>;</w:t>
      </w:r>
      <w:r w:rsidR="005D65EC" w:rsidRPr="00322074">
        <w:rPr>
          <w:rFonts w:asciiTheme="minorHAnsi" w:hAnsiTheme="minorHAnsi"/>
          <w:sz w:val="22"/>
          <w:szCs w:val="22"/>
        </w:rPr>
        <w:t xml:space="preserve"> adjoining property owners and other interested persons to provide comment on an exchange proposal.</w:t>
      </w:r>
      <w:r w:rsidR="005D65EC">
        <w:rPr>
          <w:rFonts w:asciiTheme="minorHAnsi" w:hAnsiTheme="minorHAnsi"/>
          <w:sz w:val="22"/>
          <w:szCs w:val="22"/>
        </w:rPr>
        <w:t xml:space="preserve"> </w:t>
      </w:r>
      <w:r w:rsidR="00094326">
        <w:rPr>
          <w:rFonts w:asciiTheme="minorHAnsi" w:hAnsiTheme="minorHAnsi"/>
          <w:sz w:val="22"/>
          <w:szCs w:val="22"/>
        </w:rPr>
        <w:t>The results of scoping are used to identify public involvement methods, refine issues, select</w:t>
      </w:r>
      <w:r w:rsidR="007F172F">
        <w:rPr>
          <w:rFonts w:asciiTheme="minorHAnsi" w:hAnsiTheme="minorHAnsi"/>
          <w:sz w:val="22"/>
          <w:szCs w:val="22"/>
        </w:rPr>
        <w:t xml:space="preserve"> an interdisciplinary team</w:t>
      </w:r>
      <w:r w:rsidR="00094326">
        <w:rPr>
          <w:rFonts w:asciiTheme="minorHAnsi" w:hAnsiTheme="minorHAnsi"/>
          <w:sz w:val="22"/>
          <w:szCs w:val="22"/>
        </w:rPr>
        <w:t>, establish analysis criteria, and explore possible alternatives.</w:t>
      </w:r>
      <w:r w:rsidR="00751A5F">
        <w:rPr>
          <w:rFonts w:asciiTheme="minorHAnsi" w:hAnsiTheme="minorHAnsi"/>
          <w:sz w:val="22"/>
          <w:szCs w:val="22"/>
        </w:rPr>
        <w:t xml:space="preserve"> </w:t>
      </w:r>
    </w:p>
    <w:p w:rsidR="002E57DB" w:rsidRPr="002E57DB" w:rsidRDefault="002E57DB" w:rsidP="002E57DB">
      <w:pPr>
        <w:pStyle w:val="NumberList1"/>
        <w:spacing w:before="0"/>
        <w:ind w:left="0"/>
        <w:rPr>
          <w:rFonts w:asciiTheme="minorHAnsi" w:hAnsiTheme="minorHAnsi"/>
          <w:sz w:val="22"/>
          <w:szCs w:val="22"/>
        </w:rPr>
      </w:pPr>
    </w:p>
    <w:p w:rsidR="002E57DB" w:rsidRPr="002E57DB" w:rsidRDefault="002E57DB" w:rsidP="002E57DB">
      <w:pPr>
        <w:pStyle w:val="NumberList1"/>
        <w:spacing w:before="0"/>
        <w:ind w:left="0"/>
        <w:rPr>
          <w:rFonts w:asciiTheme="minorHAnsi" w:hAnsiTheme="minorHAnsi" w:cstheme="minorHAnsi"/>
          <w:sz w:val="22"/>
          <w:szCs w:val="22"/>
        </w:rPr>
      </w:pPr>
      <w:r w:rsidRPr="002E57DB">
        <w:rPr>
          <w:rFonts w:asciiTheme="minorHAnsi" w:hAnsiTheme="minorHAnsi" w:cstheme="minorHAnsi"/>
          <w:sz w:val="22"/>
          <w:szCs w:val="22"/>
        </w:rPr>
        <w:t>Required analyses include water rights, wetlands and floodplains, hazardous materials/petroleum products, and road use. Include a summary of net miles of roads to be gained or lost and cost of bringing acquired roads up to FS standards or, if needed, the cost of closure and rehabilitation.  Address the disposition of permitted special uses, grazing leases, and/or third party uses. For exchanges involving cooperative road agreement areas, include an analysis by a Certified Cost Share Specialist.</w:t>
      </w:r>
    </w:p>
    <w:p w:rsidR="005D65EC" w:rsidRDefault="005D65EC" w:rsidP="005D65EC">
      <w:pPr>
        <w:pStyle w:val="NumberList1"/>
        <w:spacing w:before="0"/>
        <w:ind w:left="0"/>
        <w:rPr>
          <w:rFonts w:asciiTheme="minorHAnsi" w:hAnsiTheme="minorHAnsi"/>
          <w:sz w:val="22"/>
          <w:szCs w:val="22"/>
        </w:rPr>
      </w:pPr>
    </w:p>
    <w:p w:rsidR="005D65EC" w:rsidRPr="00D53A87" w:rsidRDefault="005D65EC" w:rsidP="005D65EC">
      <w:pPr>
        <w:pStyle w:val="NumberList1"/>
        <w:spacing w:before="0"/>
        <w:ind w:left="0"/>
      </w:pPr>
      <w:r>
        <w:rPr>
          <w:rFonts w:asciiTheme="minorHAnsi" w:hAnsiTheme="minorHAnsi"/>
          <w:sz w:val="22"/>
          <w:szCs w:val="22"/>
        </w:rPr>
        <w:t xml:space="preserve">Be sure to consider an adequate range of alternatives in the NEPA analysis. Although alternatives should generally be acceptable to both the federal and non-federal parties, </w:t>
      </w:r>
      <w:r w:rsidRPr="002E57DB">
        <w:rPr>
          <w:rFonts w:asciiTheme="minorHAnsi" w:hAnsiTheme="minorHAnsi"/>
          <w:sz w:val="22"/>
          <w:szCs w:val="22"/>
        </w:rPr>
        <w:t>the FS must consider</w:t>
      </w:r>
      <w:r w:rsidRPr="00153651">
        <w:rPr>
          <w:rFonts w:asciiTheme="minorHAnsi" w:hAnsiTheme="minorHAnsi"/>
          <w:sz w:val="22"/>
          <w:szCs w:val="22"/>
        </w:rPr>
        <w:t xml:space="preserve"> a purchase alternative</w:t>
      </w:r>
      <w:r>
        <w:rPr>
          <w:rFonts w:asciiTheme="minorHAnsi" w:hAnsiTheme="minorHAnsi"/>
          <w:sz w:val="22"/>
          <w:szCs w:val="22"/>
        </w:rPr>
        <w:t xml:space="preserve"> </w:t>
      </w:r>
      <w:r w:rsidR="00140BBC">
        <w:rPr>
          <w:rFonts w:asciiTheme="minorHAnsi" w:hAnsiTheme="minorHAnsi"/>
          <w:sz w:val="22"/>
          <w:szCs w:val="22"/>
        </w:rPr>
        <w:t xml:space="preserve">(Ninth Circuit </w:t>
      </w:r>
      <w:r w:rsidR="00FE116B">
        <w:rPr>
          <w:rFonts w:asciiTheme="minorHAnsi" w:hAnsiTheme="minorHAnsi"/>
          <w:sz w:val="22"/>
          <w:szCs w:val="22"/>
        </w:rPr>
        <w:t>C</w:t>
      </w:r>
      <w:r w:rsidR="00140BBC">
        <w:rPr>
          <w:rFonts w:asciiTheme="minorHAnsi" w:hAnsiTheme="minorHAnsi"/>
          <w:sz w:val="22"/>
          <w:szCs w:val="22"/>
        </w:rPr>
        <w:t xml:space="preserve">ourt ruling) </w:t>
      </w:r>
      <w:r>
        <w:rPr>
          <w:rFonts w:asciiTheme="minorHAnsi" w:hAnsiTheme="minorHAnsi"/>
          <w:sz w:val="22"/>
          <w:szCs w:val="22"/>
        </w:rPr>
        <w:t>and, when appropriate, a deed restriction alternative (36 CFR 254.3(h))</w:t>
      </w:r>
      <w:r w:rsidRPr="00153651">
        <w:rPr>
          <w:rFonts w:asciiTheme="minorHAnsi" w:hAnsiTheme="minorHAnsi"/>
          <w:sz w:val="22"/>
          <w:szCs w:val="22"/>
        </w:rPr>
        <w:t xml:space="preserve">. If the non-federal party objects to a direct purchase </w:t>
      </w:r>
      <w:r>
        <w:rPr>
          <w:rFonts w:asciiTheme="minorHAnsi" w:hAnsiTheme="minorHAnsi"/>
          <w:sz w:val="22"/>
          <w:szCs w:val="22"/>
        </w:rPr>
        <w:t>by the U.S.</w:t>
      </w:r>
      <w:r w:rsidRPr="00153651">
        <w:rPr>
          <w:rFonts w:asciiTheme="minorHAnsi" w:hAnsiTheme="minorHAnsi"/>
          <w:sz w:val="22"/>
          <w:szCs w:val="22"/>
        </w:rPr>
        <w:t>, it is helpful to have a letter documenting their position for the administrative record.</w:t>
      </w:r>
      <w:r>
        <w:rPr>
          <w:rFonts w:asciiTheme="minorHAnsi" w:hAnsiTheme="minorHAnsi"/>
          <w:sz w:val="22"/>
          <w:szCs w:val="22"/>
        </w:rPr>
        <w:t xml:space="preserve"> </w:t>
      </w:r>
    </w:p>
    <w:p w:rsidR="0071591C" w:rsidRPr="002E57DB" w:rsidRDefault="0071591C" w:rsidP="00751A5F">
      <w:pPr>
        <w:pStyle w:val="NumberList1"/>
        <w:spacing w:before="0"/>
        <w:ind w:left="0"/>
        <w:rPr>
          <w:rFonts w:asciiTheme="minorHAnsi" w:hAnsiTheme="minorHAnsi"/>
          <w:sz w:val="22"/>
          <w:szCs w:val="22"/>
        </w:rPr>
      </w:pPr>
    </w:p>
    <w:p w:rsidR="007E72B9" w:rsidRPr="00751A5F" w:rsidRDefault="00751A5F" w:rsidP="007E72B9">
      <w:pPr>
        <w:pStyle w:val="NumberList1"/>
        <w:spacing w:before="0"/>
        <w:ind w:left="0"/>
        <w:rPr>
          <w:rFonts w:asciiTheme="minorHAnsi" w:hAnsiTheme="minorHAnsi"/>
          <w:color w:val="31849B" w:themeColor="accent5" w:themeShade="BF"/>
          <w:sz w:val="22"/>
          <w:szCs w:val="22"/>
        </w:rPr>
      </w:pPr>
      <w:r w:rsidRPr="005D65EC">
        <w:rPr>
          <w:rFonts w:asciiTheme="minorHAnsi" w:hAnsiTheme="minorHAnsi"/>
          <w:sz w:val="22"/>
          <w:szCs w:val="22"/>
        </w:rPr>
        <w:t>Ensure that the NEPA analysis</w:t>
      </w:r>
      <w:r w:rsidR="001621BD" w:rsidRPr="005D65EC">
        <w:rPr>
          <w:rFonts w:asciiTheme="minorHAnsi" w:hAnsiTheme="minorHAnsi"/>
          <w:sz w:val="22"/>
          <w:szCs w:val="22"/>
        </w:rPr>
        <w:t xml:space="preserve"> for a</w:t>
      </w:r>
      <w:r w:rsidRPr="005D65EC">
        <w:rPr>
          <w:rFonts w:asciiTheme="minorHAnsi" w:hAnsiTheme="minorHAnsi"/>
          <w:sz w:val="22"/>
          <w:szCs w:val="22"/>
        </w:rPr>
        <w:t xml:space="preserve"> land </w:t>
      </w:r>
      <w:r w:rsidR="001621BD" w:rsidRPr="005D65EC">
        <w:rPr>
          <w:rFonts w:asciiTheme="minorHAnsi" w:hAnsiTheme="minorHAnsi"/>
          <w:sz w:val="22"/>
          <w:szCs w:val="22"/>
        </w:rPr>
        <w:t>exchange</w:t>
      </w:r>
      <w:r w:rsidRPr="005D65EC">
        <w:rPr>
          <w:rFonts w:asciiTheme="minorHAnsi" w:hAnsiTheme="minorHAnsi"/>
          <w:sz w:val="22"/>
          <w:szCs w:val="22"/>
        </w:rPr>
        <w:t xml:space="preserve"> tiers to Forest Plan direction and specifically addresses how the proposed action contributes to furthering management goals and objectives. In</w:t>
      </w:r>
      <w:r>
        <w:rPr>
          <w:rFonts w:asciiTheme="minorHAnsi" w:hAnsiTheme="minorHAnsi"/>
          <w:sz w:val="22"/>
          <w:szCs w:val="22"/>
        </w:rPr>
        <w:t xml:space="preserve"> itself, t</w:t>
      </w:r>
      <w:r w:rsidR="007E72B9">
        <w:rPr>
          <w:rFonts w:asciiTheme="minorHAnsi" w:hAnsiTheme="minorHAnsi"/>
          <w:sz w:val="22"/>
          <w:szCs w:val="22"/>
        </w:rPr>
        <w:t xml:space="preserve">he act of </w:t>
      </w:r>
      <w:r>
        <w:rPr>
          <w:rFonts w:asciiTheme="minorHAnsi" w:hAnsiTheme="minorHAnsi"/>
          <w:sz w:val="22"/>
          <w:szCs w:val="22"/>
        </w:rPr>
        <w:t xml:space="preserve">conveying federal land for non-federal land </w:t>
      </w:r>
      <w:r w:rsidR="007E72B9">
        <w:rPr>
          <w:rFonts w:asciiTheme="minorHAnsi" w:hAnsiTheme="minorHAnsi"/>
          <w:sz w:val="22"/>
          <w:szCs w:val="22"/>
        </w:rPr>
        <w:t>has no environmental effects; therefore, the environmental analysis should focus on the effects of future use and management of the lands acquired and conveyed and on adjoining lands. The foreseeable use of federal lands once in private ownership needs to be disclosed and addressed</w:t>
      </w:r>
      <w:r w:rsidR="00C77AFD">
        <w:rPr>
          <w:rFonts w:asciiTheme="minorHAnsi" w:hAnsiTheme="minorHAnsi"/>
          <w:sz w:val="22"/>
          <w:szCs w:val="22"/>
        </w:rPr>
        <w:t xml:space="preserve"> as part of the cumulative effects analysis</w:t>
      </w:r>
      <w:r w:rsidR="007E72B9">
        <w:rPr>
          <w:rFonts w:asciiTheme="minorHAnsi" w:hAnsiTheme="minorHAnsi"/>
          <w:sz w:val="22"/>
          <w:szCs w:val="22"/>
        </w:rPr>
        <w:t xml:space="preserve">. </w:t>
      </w:r>
    </w:p>
    <w:p w:rsidR="00C77AFD" w:rsidRPr="00C77AFD" w:rsidRDefault="00C77AFD" w:rsidP="00C77AFD">
      <w:pPr>
        <w:pStyle w:val="NumberList1"/>
        <w:spacing w:before="0"/>
        <w:ind w:left="0"/>
        <w:rPr>
          <w:rFonts w:asciiTheme="minorHAnsi" w:hAnsiTheme="minorHAnsi" w:cstheme="minorHAnsi"/>
          <w:color w:val="31849B" w:themeColor="accent5" w:themeShade="BF"/>
          <w:sz w:val="22"/>
          <w:szCs w:val="22"/>
        </w:rPr>
      </w:pPr>
    </w:p>
    <w:p w:rsidR="00C77AFD" w:rsidRDefault="00C77AFD" w:rsidP="00C77AFD">
      <w:pPr>
        <w:pStyle w:val="NumberList1"/>
        <w:spacing w:before="0"/>
        <w:ind w:left="0"/>
        <w:rPr>
          <w:rFonts w:asciiTheme="minorHAnsi" w:hAnsiTheme="minorHAnsi"/>
          <w:sz w:val="22"/>
          <w:szCs w:val="22"/>
        </w:rPr>
      </w:pPr>
      <w:r>
        <w:rPr>
          <w:rFonts w:asciiTheme="minorHAnsi" w:hAnsiTheme="minorHAnsi"/>
          <w:sz w:val="22"/>
          <w:szCs w:val="22"/>
        </w:rPr>
        <w:t>Reservations of interests or other types of deed restrictions</w:t>
      </w:r>
      <w:r w:rsidRPr="00DE42A6">
        <w:rPr>
          <w:rFonts w:asciiTheme="minorHAnsi" w:hAnsiTheme="minorHAnsi"/>
          <w:sz w:val="22"/>
          <w:szCs w:val="22"/>
        </w:rPr>
        <w:t xml:space="preserve"> </w:t>
      </w:r>
      <w:r>
        <w:rPr>
          <w:rFonts w:asciiTheme="minorHAnsi" w:hAnsiTheme="minorHAnsi"/>
          <w:sz w:val="22"/>
          <w:szCs w:val="22"/>
        </w:rPr>
        <w:t xml:space="preserve">to control future use and development are often proposed as mitigation for effects related to conveyance of federal lands into non-federal ownership. However, deed restrictions should be used only when required by law, regulation, or Executive Order, or when the intended use of the conveyed federal land would substantially conflict </w:t>
      </w:r>
      <w:r>
        <w:rPr>
          <w:rFonts w:asciiTheme="minorHAnsi" w:hAnsiTheme="minorHAnsi"/>
          <w:sz w:val="22"/>
          <w:szCs w:val="22"/>
        </w:rPr>
        <w:lastRenderedPageBreak/>
        <w:t>with established management objectives on adjacent federal lands, and where clearly and specifically supported by the NEPA analysis. Deed restrictions result in:</w:t>
      </w:r>
    </w:p>
    <w:p w:rsidR="00C77AFD" w:rsidRPr="00DE42A6" w:rsidRDefault="00C77AFD" w:rsidP="00C77AFD">
      <w:pPr>
        <w:pStyle w:val="NumberList1"/>
        <w:numPr>
          <w:ilvl w:val="0"/>
          <w:numId w:val="1"/>
        </w:numPr>
        <w:spacing w:before="0"/>
        <w:rPr>
          <w:rFonts w:asciiTheme="minorHAnsi" w:hAnsiTheme="minorHAnsi"/>
          <w:sz w:val="22"/>
          <w:szCs w:val="22"/>
        </w:rPr>
      </w:pPr>
      <w:r>
        <w:rPr>
          <w:rFonts w:asciiTheme="minorHAnsi" w:hAnsiTheme="minorHAnsi"/>
          <w:sz w:val="22"/>
          <w:szCs w:val="22"/>
        </w:rPr>
        <w:t>A potential reduction in the appraised value of the federal estate in its restricted condition, causing more federal acreage to be conveyed to equalize the value of the non-</w:t>
      </w:r>
      <w:r w:rsidR="00D37A10">
        <w:rPr>
          <w:rFonts w:asciiTheme="minorHAnsi" w:hAnsiTheme="minorHAnsi"/>
          <w:sz w:val="22"/>
          <w:szCs w:val="22"/>
        </w:rPr>
        <w:t>f</w:t>
      </w:r>
      <w:r>
        <w:rPr>
          <w:rFonts w:asciiTheme="minorHAnsi" w:hAnsiTheme="minorHAnsi"/>
          <w:sz w:val="22"/>
          <w:szCs w:val="22"/>
        </w:rPr>
        <w:t>ederal land.</w:t>
      </w:r>
    </w:p>
    <w:p w:rsidR="00C77AFD" w:rsidRDefault="00C77AFD" w:rsidP="00C77AFD">
      <w:pPr>
        <w:pStyle w:val="NumberList1"/>
        <w:numPr>
          <w:ilvl w:val="0"/>
          <w:numId w:val="1"/>
        </w:numPr>
        <w:spacing w:before="0"/>
        <w:rPr>
          <w:rFonts w:asciiTheme="minorHAnsi" w:hAnsiTheme="minorHAnsi"/>
          <w:sz w:val="22"/>
          <w:szCs w:val="22"/>
        </w:rPr>
      </w:pPr>
      <w:r w:rsidRPr="00DE42A6">
        <w:rPr>
          <w:rFonts w:asciiTheme="minorHAnsi" w:hAnsiTheme="minorHAnsi"/>
          <w:sz w:val="22"/>
          <w:szCs w:val="22"/>
        </w:rPr>
        <w:t xml:space="preserve"> </w:t>
      </w:r>
      <w:r>
        <w:rPr>
          <w:rFonts w:asciiTheme="minorHAnsi" w:hAnsiTheme="minorHAnsi"/>
          <w:sz w:val="22"/>
          <w:szCs w:val="22"/>
        </w:rPr>
        <w:t>A perpetual responsibility of the U</w:t>
      </w:r>
      <w:r w:rsidR="00D37A10">
        <w:rPr>
          <w:rFonts w:asciiTheme="minorHAnsi" w:hAnsiTheme="minorHAnsi"/>
          <w:sz w:val="22"/>
          <w:szCs w:val="22"/>
        </w:rPr>
        <w:t>.S.</w:t>
      </w:r>
      <w:r>
        <w:rPr>
          <w:rFonts w:asciiTheme="minorHAnsi" w:hAnsiTheme="minorHAnsi"/>
          <w:sz w:val="22"/>
          <w:szCs w:val="22"/>
        </w:rPr>
        <w:t xml:space="preserve"> to administer and enforce the deed restriction.</w:t>
      </w:r>
    </w:p>
    <w:p w:rsidR="00C77AFD" w:rsidRDefault="00C77AFD" w:rsidP="00C77AFD">
      <w:pPr>
        <w:pStyle w:val="NumberList1"/>
        <w:numPr>
          <w:ilvl w:val="0"/>
          <w:numId w:val="1"/>
        </w:numPr>
        <w:spacing w:before="0"/>
        <w:rPr>
          <w:rFonts w:asciiTheme="minorHAnsi" w:hAnsiTheme="minorHAnsi"/>
          <w:sz w:val="22"/>
          <w:szCs w:val="22"/>
        </w:rPr>
      </w:pPr>
      <w:r>
        <w:rPr>
          <w:rFonts w:asciiTheme="minorHAnsi" w:hAnsiTheme="minorHAnsi"/>
          <w:sz w:val="22"/>
          <w:szCs w:val="22"/>
        </w:rPr>
        <w:t xml:space="preserve">The agency assumes what should be the responsibility of local government, regulation and development of private land. </w:t>
      </w:r>
    </w:p>
    <w:p w:rsidR="00714652" w:rsidRDefault="00714652" w:rsidP="00322074">
      <w:pPr>
        <w:pStyle w:val="NumberList1"/>
        <w:spacing w:before="0"/>
        <w:ind w:left="0"/>
        <w:rPr>
          <w:rFonts w:asciiTheme="minorHAnsi" w:hAnsiTheme="minorHAnsi"/>
          <w:sz w:val="22"/>
          <w:szCs w:val="22"/>
        </w:rPr>
      </w:pPr>
    </w:p>
    <w:p w:rsidR="00CA5F30" w:rsidRPr="00236C2A" w:rsidRDefault="008D21C9" w:rsidP="00322074">
      <w:pPr>
        <w:pStyle w:val="NumberList1"/>
        <w:spacing w:before="0"/>
        <w:ind w:left="0"/>
        <w:rPr>
          <w:rFonts w:asciiTheme="minorHAnsi" w:hAnsiTheme="minorHAnsi"/>
          <w:sz w:val="22"/>
          <w:szCs w:val="22"/>
        </w:rPr>
      </w:pPr>
      <w:r w:rsidRPr="00236C2A">
        <w:rPr>
          <w:rFonts w:asciiTheme="minorHAnsi" w:hAnsiTheme="minorHAnsi"/>
          <w:sz w:val="22"/>
          <w:szCs w:val="22"/>
        </w:rPr>
        <w:t>Each land exchange decision needs to include a summary of “Public Interest Determination” that is supported by the analysis (36 CFR 254.3</w:t>
      </w:r>
      <w:r w:rsidR="0003721F" w:rsidRPr="00236C2A">
        <w:rPr>
          <w:rFonts w:asciiTheme="minorHAnsi" w:hAnsiTheme="minorHAnsi"/>
          <w:sz w:val="22"/>
          <w:szCs w:val="22"/>
        </w:rPr>
        <w:t>(</w:t>
      </w:r>
      <w:r w:rsidRPr="00236C2A">
        <w:rPr>
          <w:rFonts w:asciiTheme="minorHAnsi" w:hAnsiTheme="minorHAnsi"/>
          <w:sz w:val="22"/>
          <w:szCs w:val="22"/>
        </w:rPr>
        <w:t>b</w:t>
      </w:r>
      <w:r w:rsidR="0003721F" w:rsidRPr="00236C2A">
        <w:rPr>
          <w:rFonts w:asciiTheme="minorHAnsi" w:hAnsiTheme="minorHAnsi"/>
          <w:sz w:val="22"/>
          <w:szCs w:val="22"/>
        </w:rPr>
        <w:t>)</w:t>
      </w:r>
      <w:r w:rsidR="00CA5F30" w:rsidRPr="00236C2A">
        <w:rPr>
          <w:rFonts w:asciiTheme="minorHAnsi" w:hAnsiTheme="minorHAnsi"/>
          <w:sz w:val="22"/>
          <w:szCs w:val="22"/>
        </w:rPr>
        <w:t xml:space="preserve"> </w:t>
      </w:r>
      <w:r w:rsidR="00D37A10" w:rsidRPr="00236C2A">
        <w:rPr>
          <w:rFonts w:asciiTheme="minorHAnsi" w:hAnsiTheme="minorHAnsi"/>
          <w:sz w:val="22"/>
          <w:szCs w:val="22"/>
        </w:rPr>
        <w:t>and 43 CFR 2200.0-6</w:t>
      </w:r>
      <w:r w:rsidR="0003721F" w:rsidRPr="00236C2A">
        <w:rPr>
          <w:rFonts w:asciiTheme="minorHAnsi" w:hAnsiTheme="minorHAnsi"/>
          <w:sz w:val="22"/>
          <w:szCs w:val="22"/>
        </w:rPr>
        <w:t>(</w:t>
      </w:r>
      <w:r w:rsidR="00CA5F30" w:rsidRPr="00236C2A">
        <w:rPr>
          <w:rFonts w:asciiTheme="minorHAnsi" w:hAnsiTheme="minorHAnsi"/>
          <w:sz w:val="22"/>
          <w:szCs w:val="22"/>
        </w:rPr>
        <w:t>b</w:t>
      </w:r>
      <w:r w:rsidR="0003721F" w:rsidRPr="00236C2A">
        <w:rPr>
          <w:rFonts w:asciiTheme="minorHAnsi" w:hAnsiTheme="minorHAnsi"/>
          <w:sz w:val="22"/>
          <w:szCs w:val="22"/>
        </w:rPr>
        <w:t>)</w:t>
      </w:r>
      <w:r w:rsidR="00CA5F30" w:rsidRPr="00236C2A">
        <w:rPr>
          <w:rFonts w:asciiTheme="minorHAnsi" w:hAnsiTheme="minorHAnsi"/>
          <w:sz w:val="22"/>
          <w:szCs w:val="22"/>
        </w:rPr>
        <w:t xml:space="preserve">). </w:t>
      </w:r>
      <w:r w:rsidR="0003721F" w:rsidRPr="00236C2A">
        <w:rPr>
          <w:rFonts w:asciiTheme="minorHAnsi" w:hAnsiTheme="minorHAnsi"/>
          <w:sz w:val="22"/>
          <w:szCs w:val="22"/>
        </w:rPr>
        <w:t>For the authorized officer t</w:t>
      </w:r>
      <w:r w:rsidR="00CA5F30" w:rsidRPr="00236C2A">
        <w:rPr>
          <w:rFonts w:asciiTheme="minorHAnsi" w:hAnsiTheme="minorHAnsi"/>
          <w:sz w:val="22"/>
          <w:szCs w:val="22"/>
        </w:rPr>
        <w:t xml:space="preserve">o determine that an exchange serves the public interest, </w:t>
      </w:r>
      <w:r w:rsidR="00714652" w:rsidRPr="00236C2A">
        <w:rPr>
          <w:rFonts w:asciiTheme="minorHAnsi" w:hAnsiTheme="minorHAnsi"/>
          <w:sz w:val="22"/>
          <w:szCs w:val="22"/>
        </w:rPr>
        <w:t>the resource values and the public objectives served by the non</w:t>
      </w:r>
      <w:r w:rsidR="00821420" w:rsidRPr="00236C2A">
        <w:rPr>
          <w:rFonts w:asciiTheme="minorHAnsi" w:hAnsiTheme="minorHAnsi"/>
          <w:sz w:val="22"/>
          <w:szCs w:val="22"/>
        </w:rPr>
        <w:t>federal</w:t>
      </w:r>
      <w:r w:rsidR="00714652" w:rsidRPr="00236C2A">
        <w:rPr>
          <w:rFonts w:asciiTheme="minorHAnsi" w:hAnsiTheme="minorHAnsi"/>
          <w:sz w:val="22"/>
          <w:szCs w:val="22"/>
        </w:rPr>
        <w:t xml:space="preserve"> </w:t>
      </w:r>
      <w:r w:rsidR="00CA5F30" w:rsidRPr="00236C2A">
        <w:rPr>
          <w:rFonts w:asciiTheme="minorHAnsi" w:hAnsiTheme="minorHAnsi"/>
          <w:sz w:val="22"/>
          <w:szCs w:val="22"/>
        </w:rPr>
        <w:t>lands</w:t>
      </w:r>
      <w:r w:rsidR="00714652" w:rsidRPr="00236C2A">
        <w:rPr>
          <w:rFonts w:asciiTheme="minorHAnsi" w:hAnsiTheme="minorHAnsi"/>
          <w:sz w:val="22"/>
          <w:szCs w:val="22"/>
        </w:rPr>
        <w:t xml:space="preserve"> </w:t>
      </w:r>
      <w:r w:rsidR="00D37A10" w:rsidRPr="00236C2A">
        <w:rPr>
          <w:rFonts w:asciiTheme="minorHAnsi" w:hAnsiTheme="minorHAnsi"/>
          <w:sz w:val="22"/>
          <w:szCs w:val="22"/>
        </w:rPr>
        <w:t>must</w:t>
      </w:r>
      <w:r w:rsidR="00714652" w:rsidRPr="00236C2A">
        <w:rPr>
          <w:rFonts w:asciiTheme="minorHAnsi" w:hAnsiTheme="minorHAnsi"/>
          <w:sz w:val="22"/>
          <w:szCs w:val="22"/>
        </w:rPr>
        <w:t xml:space="preserve"> equal or exceed the resource values and public objectives served by the </w:t>
      </w:r>
      <w:r w:rsidR="0003721F" w:rsidRPr="00236C2A">
        <w:rPr>
          <w:rFonts w:asciiTheme="minorHAnsi" w:hAnsiTheme="minorHAnsi"/>
          <w:sz w:val="22"/>
          <w:szCs w:val="22"/>
        </w:rPr>
        <w:t>f</w:t>
      </w:r>
      <w:r w:rsidR="00821420" w:rsidRPr="00236C2A">
        <w:rPr>
          <w:rFonts w:asciiTheme="minorHAnsi" w:hAnsiTheme="minorHAnsi"/>
          <w:sz w:val="22"/>
          <w:szCs w:val="22"/>
        </w:rPr>
        <w:t>ederal</w:t>
      </w:r>
      <w:r w:rsidR="00714652" w:rsidRPr="00236C2A">
        <w:rPr>
          <w:rFonts w:asciiTheme="minorHAnsi" w:hAnsiTheme="minorHAnsi"/>
          <w:sz w:val="22"/>
          <w:szCs w:val="22"/>
        </w:rPr>
        <w:t xml:space="preserve"> lands being conveyed</w:t>
      </w:r>
      <w:r w:rsidR="0003721F" w:rsidRPr="00236C2A">
        <w:rPr>
          <w:rFonts w:asciiTheme="minorHAnsi" w:hAnsiTheme="minorHAnsi"/>
          <w:sz w:val="22"/>
          <w:szCs w:val="22"/>
        </w:rPr>
        <w:t>.</w:t>
      </w:r>
      <w:r w:rsidR="00CA5F30" w:rsidRPr="00236C2A">
        <w:rPr>
          <w:rFonts w:asciiTheme="minorHAnsi" w:hAnsiTheme="minorHAnsi"/>
          <w:sz w:val="22"/>
          <w:szCs w:val="22"/>
        </w:rPr>
        <w:t xml:space="preserve"> </w:t>
      </w:r>
      <w:r w:rsidR="0003721F" w:rsidRPr="00236C2A">
        <w:rPr>
          <w:rFonts w:asciiTheme="minorHAnsi" w:hAnsiTheme="minorHAnsi"/>
          <w:sz w:val="22"/>
          <w:szCs w:val="22"/>
        </w:rPr>
        <w:t>Additionally,</w:t>
      </w:r>
      <w:r w:rsidR="00CA5F30" w:rsidRPr="00236C2A">
        <w:rPr>
          <w:rFonts w:asciiTheme="minorHAnsi" w:hAnsiTheme="minorHAnsi"/>
          <w:sz w:val="22"/>
          <w:szCs w:val="22"/>
        </w:rPr>
        <w:t xml:space="preserve"> the intended use of the conveyed </w:t>
      </w:r>
      <w:r w:rsidR="0003721F" w:rsidRPr="00236C2A">
        <w:rPr>
          <w:rFonts w:asciiTheme="minorHAnsi" w:hAnsiTheme="minorHAnsi"/>
          <w:sz w:val="22"/>
          <w:szCs w:val="22"/>
        </w:rPr>
        <w:t>f</w:t>
      </w:r>
      <w:r w:rsidR="00821420" w:rsidRPr="00236C2A">
        <w:rPr>
          <w:rFonts w:asciiTheme="minorHAnsi" w:hAnsiTheme="minorHAnsi"/>
          <w:sz w:val="22"/>
          <w:szCs w:val="22"/>
        </w:rPr>
        <w:t>ederal</w:t>
      </w:r>
      <w:r w:rsidR="00CA5F30" w:rsidRPr="00236C2A">
        <w:rPr>
          <w:rFonts w:asciiTheme="minorHAnsi" w:hAnsiTheme="minorHAnsi"/>
          <w:sz w:val="22"/>
          <w:szCs w:val="22"/>
        </w:rPr>
        <w:t xml:space="preserve"> land </w:t>
      </w:r>
      <w:r w:rsidR="0003721F" w:rsidRPr="00236C2A">
        <w:rPr>
          <w:rFonts w:asciiTheme="minorHAnsi" w:hAnsiTheme="minorHAnsi"/>
          <w:sz w:val="22"/>
          <w:szCs w:val="22"/>
        </w:rPr>
        <w:t>must</w:t>
      </w:r>
      <w:r w:rsidR="00CA5F30" w:rsidRPr="00236C2A">
        <w:rPr>
          <w:rFonts w:asciiTheme="minorHAnsi" w:hAnsiTheme="minorHAnsi"/>
          <w:sz w:val="22"/>
          <w:szCs w:val="22"/>
        </w:rPr>
        <w:t xml:space="preserve"> not substantially conflict with established management objectives on adjacent </w:t>
      </w:r>
      <w:r w:rsidR="0003721F" w:rsidRPr="00236C2A">
        <w:rPr>
          <w:rFonts w:asciiTheme="minorHAnsi" w:hAnsiTheme="minorHAnsi"/>
          <w:sz w:val="22"/>
          <w:szCs w:val="22"/>
        </w:rPr>
        <w:t>f</w:t>
      </w:r>
      <w:r w:rsidR="00821420" w:rsidRPr="00236C2A">
        <w:rPr>
          <w:rFonts w:asciiTheme="minorHAnsi" w:hAnsiTheme="minorHAnsi"/>
          <w:sz w:val="22"/>
          <w:szCs w:val="22"/>
        </w:rPr>
        <w:t>ederal</w:t>
      </w:r>
      <w:r w:rsidR="00CA5F30" w:rsidRPr="00236C2A">
        <w:rPr>
          <w:rFonts w:asciiTheme="minorHAnsi" w:hAnsiTheme="minorHAnsi"/>
          <w:sz w:val="22"/>
          <w:szCs w:val="22"/>
        </w:rPr>
        <w:t xml:space="preserve"> lands.</w:t>
      </w:r>
      <w:r w:rsidR="0042131C" w:rsidRPr="00236C2A">
        <w:rPr>
          <w:rFonts w:asciiTheme="minorHAnsi" w:hAnsiTheme="minorHAnsi"/>
          <w:sz w:val="22"/>
          <w:szCs w:val="22"/>
        </w:rPr>
        <w:t xml:space="preserve"> </w:t>
      </w:r>
      <w:r w:rsidR="00D37A10" w:rsidRPr="00236C2A">
        <w:rPr>
          <w:rFonts w:asciiTheme="minorHAnsi" w:hAnsiTheme="minorHAnsi"/>
          <w:sz w:val="22"/>
          <w:szCs w:val="22"/>
        </w:rPr>
        <w:t xml:space="preserve">Refer to Factors to Consider in making </w:t>
      </w:r>
      <w:r w:rsidR="0003721F" w:rsidRPr="00236C2A">
        <w:rPr>
          <w:rFonts w:asciiTheme="minorHAnsi" w:hAnsiTheme="minorHAnsi"/>
          <w:sz w:val="22"/>
          <w:szCs w:val="22"/>
        </w:rPr>
        <w:t xml:space="preserve">a </w:t>
      </w:r>
      <w:r w:rsidR="00D37A10" w:rsidRPr="00236C2A">
        <w:rPr>
          <w:rFonts w:asciiTheme="minorHAnsi" w:hAnsiTheme="minorHAnsi"/>
          <w:sz w:val="22"/>
          <w:szCs w:val="22"/>
        </w:rPr>
        <w:t>Public Interest Determination as noted in 254.3(l).</w:t>
      </w:r>
    </w:p>
    <w:p w:rsidR="00D37A10" w:rsidRDefault="00D37A10" w:rsidP="00D37A10">
      <w:pPr>
        <w:pStyle w:val="NumberList1"/>
        <w:spacing w:before="0"/>
        <w:ind w:left="0"/>
        <w:rPr>
          <w:rFonts w:asciiTheme="minorHAnsi" w:hAnsiTheme="minorHAnsi"/>
          <w:sz w:val="22"/>
          <w:szCs w:val="22"/>
        </w:rPr>
      </w:pPr>
    </w:p>
    <w:p w:rsidR="00314EC9" w:rsidRDefault="00D37A10" w:rsidP="00322074">
      <w:pPr>
        <w:pStyle w:val="NumberList1"/>
        <w:spacing w:before="0"/>
        <w:ind w:left="0"/>
        <w:rPr>
          <w:rFonts w:asciiTheme="minorHAnsi" w:hAnsiTheme="minorHAnsi"/>
          <w:sz w:val="22"/>
          <w:szCs w:val="22"/>
        </w:rPr>
      </w:pPr>
      <w:r>
        <w:rPr>
          <w:rFonts w:asciiTheme="minorHAnsi" w:hAnsiTheme="minorHAnsi"/>
          <w:sz w:val="22"/>
          <w:szCs w:val="22"/>
        </w:rPr>
        <w:t>The environmental analysis and documentation may be done in house or by contract (in larger and more complex exchanges) or a combination of both. Contracts require that the appropriate agency resource specialist provides oversight</w:t>
      </w:r>
      <w:r w:rsidR="00224457">
        <w:rPr>
          <w:rFonts w:asciiTheme="minorHAnsi" w:hAnsiTheme="minorHAnsi"/>
          <w:sz w:val="22"/>
          <w:szCs w:val="22"/>
        </w:rPr>
        <w:t xml:space="preserve"> and approves the final report. </w:t>
      </w:r>
      <w:r w:rsidR="00EA2BE9" w:rsidRPr="00EA2BE9">
        <w:rPr>
          <w:rFonts w:asciiTheme="minorHAnsi" w:hAnsiTheme="minorHAnsi"/>
          <w:sz w:val="22"/>
          <w:szCs w:val="22"/>
        </w:rPr>
        <w:t>Keep in mind that the environmental analysis process is complicated, especially for a large and complex land exchange. Consultation and involvement of NEPA experts, public affairs, and many other specialists is essential.</w:t>
      </w:r>
    </w:p>
    <w:p w:rsidR="007F172F" w:rsidRDefault="007F172F" w:rsidP="00322074">
      <w:pPr>
        <w:pStyle w:val="NumberList1"/>
        <w:spacing w:before="0"/>
        <w:ind w:left="0"/>
        <w:rPr>
          <w:rFonts w:asciiTheme="minorHAnsi" w:hAnsiTheme="minorHAnsi"/>
          <w:sz w:val="22"/>
          <w:szCs w:val="22"/>
        </w:rPr>
      </w:pPr>
    </w:p>
    <w:p w:rsidR="007F172F" w:rsidRPr="00EA2BE9" w:rsidRDefault="007F172F" w:rsidP="00322074">
      <w:pPr>
        <w:pStyle w:val="NumberList1"/>
        <w:spacing w:before="0"/>
        <w:ind w:left="0"/>
        <w:rPr>
          <w:rFonts w:asciiTheme="minorHAnsi" w:hAnsiTheme="minorHAnsi"/>
          <w:sz w:val="22"/>
          <w:szCs w:val="22"/>
        </w:rPr>
      </w:pPr>
    </w:p>
    <w:sectPr w:rsidR="007F172F" w:rsidRPr="00EA2BE9" w:rsidSect="00BB1F20">
      <w:headerReference w:type="default" r:id="rId7"/>
      <w:footerReference w:type="default" r:id="rId8"/>
      <w:headerReference w:type="first" r:id="rId9"/>
      <w:footerReference w:type="first" r:id="rId10"/>
      <w:pgSz w:w="12240" w:h="15840"/>
      <w:pgMar w:top="1440" w:right="144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231" w:rsidRDefault="00996231" w:rsidP="00072505">
      <w:pPr>
        <w:spacing w:after="0"/>
      </w:pPr>
      <w:r>
        <w:separator/>
      </w:r>
    </w:p>
  </w:endnote>
  <w:endnote w:type="continuationSeparator" w:id="0">
    <w:p w:rsidR="00996231" w:rsidRDefault="00996231" w:rsidP="000725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62051"/>
      <w:docPartObj>
        <w:docPartGallery w:val="Page Numbers (Bottom of Page)"/>
        <w:docPartUnique/>
      </w:docPartObj>
    </w:sdtPr>
    <w:sdtContent>
      <w:sdt>
        <w:sdtPr>
          <w:id w:val="565050477"/>
          <w:docPartObj>
            <w:docPartGallery w:val="Page Numbers (Top of Page)"/>
            <w:docPartUnique/>
          </w:docPartObj>
        </w:sdtPr>
        <w:sdtContent>
          <w:p w:rsidR="00276662" w:rsidRDefault="00276662">
            <w:pPr>
              <w:pStyle w:val="Footer"/>
              <w:jc w:val="center"/>
            </w:pPr>
            <w:r w:rsidRPr="00BB1F20">
              <w:rPr>
                <w:sz w:val="16"/>
                <w:szCs w:val="16"/>
              </w:rPr>
              <w:t xml:space="preserve">Page </w:t>
            </w:r>
            <w:r w:rsidR="00DE6000" w:rsidRPr="00BB1F20">
              <w:rPr>
                <w:b/>
                <w:sz w:val="16"/>
                <w:szCs w:val="16"/>
              </w:rPr>
              <w:fldChar w:fldCharType="begin"/>
            </w:r>
            <w:r w:rsidRPr="00BB1F20">
              <w:rPr>
                <w:b/>
                <w:sz w:val="16"/>
                <w:szCs w:val="16"/>
              </w:rPr>
              <w:instrText xml:space="preserve"> PAGE </w:instrText>
            </w:r>
            <w:r w:rsidR="00DE6000" w:rsidRPr="00BB1F20">
              <w:rPr>
                <w:b/>
                <w:sz w:val="16"/>
                <w:szCs w:val="16"/>
              </w:rPr>
              <w:fldChar w:fldCharType="separate"/>
            </w:r>
            <w:r w:rsidR="00694542">
              <w:rPr>
                <w:b/>
                <w:noProof/>
                <w:sz w:val="16"/>
                <w:szCs w:val="16"/>
              </w:rPr>
              <w:t>2</w:t>
            </w:r>
            <w:r w:rsidR="00DE6000" w:rsidRPr="00BB1F20">
              <w:rPr>
                <w:b/>
                <w:sz w:val="16"/>
                <w:szCs w:val="16"/>
              </w:rPr>
              <w:fldChar w:fldCharType="end"/>
            </w:r>
            <w:r w:rsidRPr="00BB1F20">
              <w:rPr>
                <w:sz w:val="16"/>
                <w:szCs w:val="16"/>
              </w:rPr>
              <w:t xml:space="preserve"> of </w:t>
            </w:r>
            <w:r w:rsidR="00DE6000" w:rsidRPr="00BB1F20">
              <w:rPr>
                <w:b/>
                <w:sz w:val="16"/>
                <w:szCs w:val="16"/>
              </w:rPr>
              <w:fldChar w:fldCharType="begin"/>
            </w:r>
            <w:r w:rsidRPr="00BB1F20">
              <w:rPr>
                <w:b/>
                <w:sz w:val="16"/>
                <w:szCs w:val="16"/>
              </w:rPr>
              <w:instrText xml:space="preserve"> NUMPAGES  </w:instrText>
            </w:r>
            <w:r w:rsidR="00DE6000" w:rsidRPr="00BB1F20">
              <w:rPr>
                <w:b/>
                <w:sz w:val="16"/>
                <w:szCs w:val="16"/>
              </w:rPr>
              <w:fldChar w:fldCharType="separate"/>
            </w:r>
            <w:r w:rsidR="00694542">
              <w:rPr>
                <w:b/>
                <w:noProof/>
                <w:sz w:val="16"/>
                <w:szCs w:val="16"/>
              </w:rPr>
              <w:t>2</w:t>
            </w:r>
            <w:r w:rsidR="00DE6000" w:rsidRPr="00BB1F20">
              <w:rPr>
                <w:b/>
                <w:sz w:val="16"/>
                <w:szCs w:val="16"/>
              </w:rPr>
              <w:fldChar w:fldCharType="end"/>
            </w:r>
          </w:p>
        </w:sdtContent>
      </w:sdt>
    </w:sdtContent>
  </w:sdt>
  <w:p w:rsidR="00276662" w:rsidRDefault="00276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91800345"/>
      <w:docPartObj>
        <w:docPartGallery w:val="Page Numbers (Bottom of Page)"/>
        <w:docPartUnique/>
      </w:docPartObj>
    </w:sdtPr>
    <w:sdtContent>
      <w:sdt>
        <w:sdtPr>
          <w:rPr>
            <w:sz w:val="16"/>
            <w:szCs w:val="16"/>
          </w:rPr>
          <w:id w:val="91800344"/>
          <w:docPartObj>
            <w:docPartGallery w:val="Page Numbers (Top of Page)"/>
            <w:docPartUnique/>
          </w:docPartObj>
        </w:sdtPr>
        <w:sdtContent>
          <w:p w:rsidR="00276662" w:rsidRPr="00F3177C" w:rsidRDefault="00276662">
            <w:pPr>
              <w:pStyle w:val="Footer"/>
              <w:jc w:val="center"/>
              <w:rPr>
                <w:sz w:val="16"/>
                <w:szCs w:val="16"/>
              </w:rPr>
            </w:pPr>
            <w:r w:rsidRPr="00F3177C">
              <w:rPr>
                <w:sz w:val="16"/>
                <w:szCs w:val="16"/>
              </w:rPr>
              <w:t xml:space="preserve">Page </w:t>
            </w:r>
            <w:r w:rsidR="00DE6000" w:rsidRPr="00F3177C">
              <w:rPr>
                <w:b/>
                <w:sz w:val="16"/>
                <w:szCs w:val="16"/>
              </w:rPr>
              <w:fldChar w:fldCharType="begin"/>
            </w:r>
            <w:r w:rsidRPr="00F3177C">
              <w:rPr>
                <w:b/>
                <w:sz w:val="16"/>
                <w:szCs w:val="16"/>
              </w:rPr>
              <w:instrText xml:space="preserve"> PAGE </w:instrText>
            </w:r>
            <w:r w:rsidR="00DE6000" w:rsidRPr="00F3177C">
              <w:rPr>
                <w:b/>
                <w:sz w:val="16"/>
                <w:szCs w:val="16"/>
              </w:rPr>
              <w:fldChar w:fldCharType="separate"/>
            </w:r>
            <w:r w:rsidR="00694542">
              <w:rPr>
                <w:b/>
                <w:noProof/>
                <w:sz w:val="16"/>
                <w:szCs w:val="16"/>
              </w:rPr>
              <w:t>1</w:t>
            </w:r>
            <w:r w:rsidR="00DE6000" w:rsidRPr="00F3177C">
              <w:rPr>
                <w:b/>
                <w:sz w:val="16"/>
                <w:szCs w:val="16"/>
              </w:rPr>
              <w:fldChar w:fldCharType="end"/>
            </w:r>
            <w:r w:rsidRPr="00F3177C">
              <w:rPr>
                <w:sz w:val="16"/>
                <w:szCs w:val="16"/>
              </w:rPr>
              <w:t xml:space="preserve"> of </w:t>
            </w:r>
            <w:r w:rsidR="00DE6000" w:rsidRPr="00F3177C">
              <w:rPr>
                <w:b/>
                <w:sz w:val="16"/>
                <w:szCs w:val="16"/>
              </w:rPr>
              <w:fldChar w:fldCharType="begin"/>
            </w:r>
            <w:r w:rsidRPr="00F3177C">
              <w:rPr>
                <w:b/>
                <w:sz w:val="16"/>
                <w:szCs w:val="16"/>
              </w:rPr>
              <w:instrText xml:space="preserve"> NUMPAGES  </w:instrText>
            </w:r>
            <w:r w:rsidR="00DE6000" w:rsidRPr="00F3177C">
              <w:rPr>
                <w:b/>
                <w:sz w:val="16"/>
                <w:szCs w:val="16"/>
              </w:rPr>
              <w:fldChar w:fldCharType="separate"/>
            </w:r>
            <w:r w:rsidR="00694542">
              <w:rPr>
                <w:b/>
                <w:noProof/>
                <w:sz w:val="16"/>
                <w:szCs w:val="16"/>
              </w:rPr>
              <w:t>2</w:t>
            </w:r>
            <w:r w:rsidR="00DE6000" w:rsidRPr="00F3177C">
              <w:rPr>
                <w:b/>
                <w:sz w:val="16"/>
                <w:szCs w:val="16"/>
              </w:rPr>
              <w:fldChar w:fldCharType="end"/>
            </w:r>
          </w:p>
        </w:sdtContent>
      </w:sdt>
    </w:sdtContent>
  </w:sdt>
  <w:p w:rsidR="00276662" w:rsidRDefault="00276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231" w:rsidRDefault="00996231" w:rsidP="00072505">
      <w:pPr>
        <w:spacing w:after="0"/>
      </w:pPr>
      <w:r>
        <w:separator/>
      </w:r>
    </w:p>
  </w:footnote>
  <w:footnote w:type="continuationSeparator" w:id="0">
    <w:p w:rsidR="00996231" w:rsidRDefault="00996231" w:rsidP="000725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62" w:rsidRPr="00BB1F20" w:rsidRDefault="00276662">
    <w:pPr>
      <w:pStyle w:val="Header"/>
      <w:rPr>
        <w:sz w:val="16"/>
        <w:szCs w:val="16"/>
      </w:rPr>
    </w:pPr>
    <w:r w:rsidRPr="00BB1F20">
      <w:rPr>
        <w:sz w:val="16"/>
        <w:szCs w:val="16"/>
      </w:rPr>
      <w:t>Scoping and NEPA Analysis</w:t>
    </w:r>
  </w:p>
  <w:p w:rsidR="00276662" w:rsidRPr="00BB1F20" w:rsidRDefault="00276662">
    <w:pPr>
      <w:pStyle w:val="Header"/>
      <w:rPr>
        <w:sz w:val="16"/>
        <w:szCs w:val="16"/>
      </w:rPr>
    </w:pPr>
    <w:r w:rsidRPr="00BB1F20">
      <w:rPr>
        <w:sz w:val="16"/>
        <w:szCs w:val="16"/>
      </w:rPr>
      <w:t>Revised 06/2010</w:t>
    </w:r>
  </w:p>
  <w:p w:rsidR="00276662" w:rsidRDefault="002766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62" w:rsidRPr="005021B9" w:rsidRDefault="00276662">
    <w:pPr>
      <w:pStyle w:val="Header"/>
      <w:rPr>
        <w:sz w:val="16"/>
        <w:szCs w:val="16"/>
      </w:rPr>
    </w:pPr>
    <w:r w:rsidRPr="005021B9">
      <w:rPr>
        <w:sz w:val="16"/>
        <w:szCs w:val="16"/>
      </w:rPr>
      <w:t>(Revised 05/2011)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73A"/>
    <w:multiLevelType w:val="hybridMultilevel"/>
    <w:tmpl w:val="A12A6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56366"/>
    <w:multiLevelType w:val="hybridMultilevel"/>
    <w:tmpl w:val="83B2D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14EC9"/>
    <w:rsid w:val="000266AD"/>
    <w:rsid w:val="0003721F"/>
    <w:rsid w:val="00071F18"/>
    <w:rsid w:val="00072505"/>
    <w:rsid w:val="00094326"/>
    <w:rsid w:val="000B17D7"/>
    <w:rsid w:val="000D24A7"/>
    <w:rsid w:val="00140BBC"/>
    <w:rsid w:val="00153651"/>
    <w:rsid w:val="001621BD"/>
    <w:rsid w:val="001B5009"/>
    <w:rsid w:val="00211B5D"/>
    <w:rsid w:val="00224457"/>
    <w:rsid w:val="00236C2A"/>
    <w:rsid w:val="00244804"/>
    <w:rsid w:val="002666CD"/>
    <w:rsid w:val="00276662"/>
    <w:rsid w:val="002B6951"/>
    <w:rsid w:val="002E57DB"/>
    <w:rsid w:val="00314EC9"/>
    <w:rsid w:val="00322074"/>
    <w:rsid w:val="00323D08"/>
    <w:rsid w:val="003464E4"/>
    <w:rsid w:val="00390D50"/>
    <w:rsid w:val="003B449E"/>
    <w:rsid w:val="0042131C"/>
    <w:rsid w:val="005021B9"/>
    <w:rsid w:val="005B54B1"/>
    <w:rsid w:val="005D65EC"/>
    <w:rsid w:val="00660190"/>
    <w:rsid w:val="006819A3"/>
    <w:rsid w:val="00694542"/>
    <w:rsid w:val="006E532A"/>
    <w:rsid w:val="0070086B"/>
    <w:rsid w:val="00714652"/>
    <w:rsid w:val="0071591C"/>
    <w:rsid w:val="00742232"/>
    <w:rsid w:val="00751A5F"/>
    <w:rsid w:val="00786EE0"/>
    <w:rsid w:val="007E72B9"/>
    <w:rsid w:val="007F172F"/>
    <w:rsid w:val="00821420"/>
    <w:rsid w:val="008223F4"/>
    <w:rsid w:val="00880209"/>
    <w:rsid w:val="008D21C9"/>
    <w:rsid w:val="00965525"/>
    <w:rsid w:val="00974AD4"/>
    <w:rsid w:val="00996231"/>
    <w:rsid w:val="009A4964"/>
    <w:rsid w:val="009F155F"/>
    <w:rsid w:val="00A21A7D"/>
    <w:rsid w:val="00A22890"/>
    <w:rsid w:val="00A402D3"/>
    <w:rsid w:val="00A66326"/>
    <w:rsid w:val="00B017C5"/>
    <w:rsid w:val="00B3535F"/>
    <w:rsid w:val="00BB1F20"/>
    <w:rsid w:val="00BF28FC"/>
    <w:rsid w:val="00BF47D3"/>
    <w:rsid w:val="00C03B51"/>
    <w:rsid w:val="00C207CD"/>
    <w:rsid w:val="00C53794"/>
    <w:rsid w:val="00C77AFD"/>
    <w:rsid w:val="00C9162A"/>
    <w:rsid w:val="00CA5F30"/>
    <w:rsid w:val="00D0327C"/>
    <w:rsid w:val="00D20311"/>
    <w:rsid w:val="00D37A10"/>
    <w:rsid w:val="00D53A87"/>
    <w:rsid w:val="00D72D53"/>
    <w:rsid w:val="00DC1861"/>
    <w:rsid w:val="00DE3632"/>
    <w:rsid w:val="00DE42A6"/>
    <w:rsid w:val="00DE6000"/>
    <w:rsid w:val="00EA2BE9"/>
    <w:rsid w:val="00ED68F6"/>
    <w:rsid w:val="00F3177C"/>
    <w:rsid w:val="00F3585A"/>
    <w:rsid w:val="00F40437"/>
    <w:rsid w:val="00F56D0F"/>
    <w:rsid w:val="00FD2E47"/>
    <w:rsid w:val="00FE1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11"/>
  </w:style>
  <w:style w:type="paragraph" w:styleId="Heading1">
    <w:name w:val="heading 1"/>
    <w:basedOn w:val="Normal"/>
    <w:next w:val="Normal"/>
    <w:link w:val="Heading1Char"/>
    <w:uiPriority w:val="9"/>
    <w:qFormat/>
    <w:rsid w:val="009F1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1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1">
    <w:name w:val="Number List 1"/>
    <w:aliases w:val="2,3,Numbered List - 1,3..."/>
    <w:basedOn w:val="Normal"/>
    <w:rsid w:val="00322074"/>
    <w:pPr>
      <w:spacing w:before="240" w:after="0"/>
      <w:ind w:left="720"/>
    </w:pPr>
    <w:rPr>
      <w:rFonts w:ascii="Times New Roman" w:eastAsia="Times New Roman" w:hAnsi="Times New Roman" w:cs="Times New Roman"/>
      <w:sz w:val="24"/>
      <w:szCs w:val="24"/>
    </w:rPr>
  </w:style>
  <w:style w:type="paragraph" w:customStyle="1" w:styleId="Quotation">
    <w:name w:val="Quotation"/>
    <w:basedOn w:val="Normal"/>
    <w:next w:val="Normal"/>
    <w:rsid w:val="00322074"/>
    <w:pPr>
      <w:spacing w:after="0"/>
      <w:ind w:left="1080" w:right="1080"/>
    </w:pPr>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072505"/>
    <w:pPr>
      <w:tabs>
        <w:tab w:val="center" w:pos="4680"/>
        <w:tab w:val="right" w:pos="9360"/>
      </w:tabs>
      <w:spacing w:after="0"/>
    </w:pPr>
  </w:style>
  <w:style w:type="character" w:customStyle="1" w:styleId="HeaderChar">
    <w:name w:val="Header Char"/>
    <w:basedOn w:val="DefaultParagraphFont"/>
    <w:link w:val="Header"/>
    <w:uiPriority w:val="99"/>
    <w:rsid w:val="00072505"/>
  </w:style>
  <w:style w:type="paragraph" w:styleId="Footer">
    <w:name w:val="footer"/>
    <w:basedOn w:val="Normal"/>
    <w:link w:val="FooterChar"/>
    <w:uiPriority w:val="99"/>
    <w:unhideWhenUsed/>
    <w:rsid w:val="00072505"/>
    <w:pPr>
      <w:tabs>
        <w:tab w:val="center" w:pos="4680"/>
        <w:tab w:val="right" w:pos="9360"/>
      </w:tabs>
      <w:spacing w:after="0"/>
    </w:pPr>
  </w:style>
  <w:style w:type="character" w:customStyle="1" w:styleId="FooterChar">
    <w:name w:val="Footer Char"/>
    <w:basedOn w:val="DefaultParagraphFont"/>
    <w:link w:val="Footer"/>
    <w:uiPriority w:val="99"/>
    <w:rsid w:val="00072505"/>
  </w:style>
  <w:style w:type="paragraph" w:styleId="BalloonText">
    <w:name w:val="Balloon Text"/>
    <w:basedOn w:val="Normal"/>
    <w:link w:val="BalloonTextChar"/>
    <w:uiPriority w:val="99"/>
    <w:semiHidden/>
    <w:unhideWhenUsed/>
    <w:rsid w:val="00BB1F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F20"/>
    <w:rPr>
      <w:rFonts w:ascii="Tahoma" w:hAnsi="Tahoma" w:cs="Tahoma"/>
      <w:sz w:val="16"/>
      <w:szCs w:val="16"/>
    </w:rPr>
  </w:style>
  <w:style w:type="character" w:customStyle="1" w:styleId="Heading1Char">
    <w:name w:val="Heading 1 Char"/>
    <w:basedOn w:val="DefaultParagraphFont"/>
    <w:link w:val="Heading1"/>
    <w:uiPriority w:val="9"/>
    <w:rsid w:val="009F15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155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B449E"/>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dokholm</dc:creator>
  <cp:keywords/>
  <dc:description/>
  <cp:lastModifiedBy>dokholm</cp:lastModifiedBy>
  <cp:revision>22</cp:revision>
  <cp:lastPrinted>2011-05-24T20:39:00Z</cp:lastPrinted>
  <dcterms:created xsi:type="dcterms:W3CDTF">2011-05-05T19:05:00Z</dcterms:created>
  <dcterms:modified xsi:type="dcterms:W3CDTF">2011-05-24T21:08:00Z</dcterms:modified>
</cp:coreProperties>
</file>