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FD8" w:rsidRPr="00BF1FD8" w:rsidRDefault="00BF1FD8" w:rsidP="00BF1FD8">
      <w:pPr>
        <w:spacing w:before="300" w:after="150" w:line="240" w:lineRule="auto"/>
        <w:outlineLvl w:val="0"/>
        <w:rPr>
          <w:rFonts w:ascii="inherit" w:eastAsia="Times New Roman" w:hAnsi="inherit" w:cs="Helvetica"/>
          <w:color w:val="333333"/>
          <w:kern w:val="36"/>
          <w:sz w:val="54"/>
          <w:szCs w:val="54"/>
          <w:lang w:val="en"/>
        </w:rPr>
      </w:pPr>
      <w:bookmarkStart w:id="0" w:name="_GoBack"/>
      <w:r w:rsidRPr="00BF1FD8">
        <w:rPr>
          <w:rFonts w:ascii="inherit" w:eastAsia="Times New Roman" w:hAnsi="inherit" w:cs="Helvetica"/>
          <w:color w:val="333333"/>
          <w:kern w:val="36"/>
          <w:sz w:val="54"/>
          <w:szCs w:val="54"/>
          <w:lang w:val="en"/>
        </w:rPr>
        <w:t xml:space="preserve">16 U.S. Code § 1643 </w:t>
      </w:r>
      <w:bookmarkEnd w:id="0"/>
      <w:r w:rsidRPr="00BF1FD8">
        <w:rPr>
          <w:rFonts w:ascii="inherit" w:eastAsia="Times New Roman" w:hAnsi="inherit" w:cs="Helvetica"/>
          <w:color w:val="333333"/>
          <w:kern w:val="36"/>
          <w:sz w:val="54"/>
          <w:szCs w:val="54"/>
          <w:lang w:val="en"/>
        </w:rPr>
        <w:t>- Implementation of provisions</w:t>
      </w:r>
    </w:p>
    <w:p w:rsidR="00BF1FD8" w:rsidRPr="00BF1FD8" w:rsidRDefault="00BF1FD8" w:rsidP="00BF1FD8">
      <w:pPr>
        <w:spacing w:after="0" w:line="240" w:lineRule="auto"/>
        <w:rPr>
          <w:rFonts w:ascii="Helvetica" w:eastAsia="Times New Roman" w:hAnsi="Helvetica" w:cs="Helvetica"/>
          <w:b/>
          <w:bCs/>
          <w:color w:val="333333"/>
          <w:sz w:val="21"/>
          <w:szCs w:val="21"/>
          <w:lang w:val="en"/>
        </w:rPr>
      </w:pPr>
      <w:r w:rsidRPr="00BF1FD8">
        <w:rPr>
          <w:rFonts w:ascii="Helvetica" w:eastAsia="Times New Roman" w:hAnsi="Helvetica" w:cs="Helvetica"/>
          <w:b/>
          <w:bCs/>
          <w:color w:val="333333"/>
          <w:sz w:val="21"/>
          <w:szCs w:val="21"/>
          <w:lang w:val="en"/>
        </w:rPr>
        <w:t>§ 1643.</w:t>
      </w:r>
    </w:p>
    <w:p w:rsidR="00BF1FD8" w:rsidRPr="00BF1FD8" w:rsidRDefault="00BF1FD8" w:rsidP="00BF1FD8">
      <w:pPr>
        <w:spacing w:after="0" w:line="240" w:lineRule="auto"/>
        <w:rPr>
          <w:rFonts w:ascii="Helvetica" w:eastAsia="Times New Roman" w:hAnsi="Helvetica" w:cs="Helvetica"/>
          <w:b/>
          <w:bCs/>
          <w:color w:val="333333"/>
          <w:sz w:val="21"/>
          <w:szCs w:val="21"/>
          <w:lang w:val="en"/>
        </w:rPr>
      </w:pPr>
      <w:r w:rsidRPr="00BF1FD8">
        <w:rPr>
          <w:rFonts w:ascii="Helvetica" w:eastAsia="Times New Roman" w:hAnsi="Helvetica" w:cs="Helvetica"/>
          <w:b/>
          <w:bCs/>
          <w:color w:val="333333"/>
          <w:sz w:val="21"/>
          <w:szCs w:val="21"/>
          <w:lang w:val="en"/>
        </w:rPr>
        <w:t>Implementation of provisions</w:t>
      </w:r>
    </w:p>
    <w:p w:rsidR="00BF1FD8" w:rsidRPr="00BF1FD8" w:rsidRDefault="00BF1FD8" w:rsidP="00BF1FD8">
      <w:pPr>
        <w:spacing w:after="0" w:line="240" w:lineRule="auto"/>
        <w:rPr>
          <w:rFonts w:ascii="Helvetica" w:eastAsia="Times New Roman" w:hAnsi="Helvetica" w:cs="Helvetica"/>
          <w:color w:val="333333"/>
          <w:sz w:val="21"/>
          <w:szCs w:val="21"/>
          <w:lang w:val="en"/>
        </w:rPr>
      </w:pPr>
      <w:bookmarkStart w:id="1" w:name="a"/>
      <w:bookmarkEnd w:id="1"/>
      <w:r w:rsidRPr="00BF1FD8">
        <w:rPr>
          <w:rFonts w:ascii="Helvetica" w:eastAsia="Times New Roman" w:hAnsi="Helvetica" w:cs="Helvetica"/>
          <w:b/>
          <w:bCs/>
          <w:color w:val="333333"/>
          <w:sz w:val="21"/>
          <w:szCs w:val="21"/>
          <w:lang w:val="en"/>
        </w:rPr>
        <w:t>(a) Establishment and maintenance of research facilities; acquisition, expenditures, etc., for property</w:t>
      </w:r>
      <w:r w:rsidRPr="00BF1FD8">
        <w:rPr>
          <w:rFonts w:ascii="Helvetica" w:eastAsia="Times New Roman" w:hAnsi="Helvetica" w:cs="Helvetica"/>
          <w:color w:val="333333"/>
          <w:sz w:val="21"/>
          <w:szCs w:val="21"/>
          <w:lang w:val="en"/>
        </w:rPr>
        <w:t xml:space="preserve"> </w:t>
      </w:r>
    </w:p>
    <w:p w:rsidR="00BF1FD8" w:rsidRPr="00BF1FD8" w:rsidRDefault="00BF1FD8" w:rsidP="00BF1FD8">
      <w:pPr>
        <w:spacing w:after="150" w:line="240" w:lineRule="auto"/>
        <w:rPr>
          <w:rFonts w:ascii="Helvetica" w:eastAsia="Times New Roman" w:hAnsi="Helvetica" w:cs="Helvetica"/>
          <w:color w:val="333333"/>
          <w:sz w:val="21"/>
          <w:szCs w:val="21"/>
          <w:lang w:val="en"/>
        </w:rPr>
      </w:pPr>
      <w:r w:rsidRPr="00BF1FD8">
        <w:rPr>
          <w:rFonts w:ascii="Helvetica" w:eastAsia="Times New Roman" w:hAnsi="Helvetica" w:cs="Helvetica"/>
          <w:color w:val="333333"/>
          <w:sz w:val="21"/>
          <w:szCs w:val="21"/>
          <w:lang w:val="en"/>
        </w:rPr>
        <w:t>In implementing this subchapter, the Secretary is authorized to establish and maintain a system of experiment stations, research laboratories, experimental areas, and other forest and rangeland research facilities. The Secretary is authorized, with donated or appropriated funds, to acquire by lease, donation, purchase, exchange, or otherwise, land or interests in land within the United States needed to implement this subchapter, to make necessary expenditures to examine, appraise, and survey such property, and to do all things incident to perfecting title thereto in the United States.</w:t>
      </w:r>
    </w:p>
    <w:p w:rsidR="00BF1FD8" w:rsidRPr="00BF1FD8" w:rsidRDefault="00BF1FD8" w:rsidP="00BF1FD8">
      <w:pPr>
        <w:spacing w:after="0" w:line="240" w:lineRule="auto"/>
        <w:rPr>
          <w:rFonts w:ascii="Helvetica" w:eastAsia="Times New Roman" w:hAnsi="Helvetica" w:cs="Helvetica"/>
          <w:color w:val="333333"/>
          <w:sz w:val="21"/>
          <w:szCs w:val="21"/>
          <w:lang w:val="en"/>
        </w:rPr>
      </w:pPr>
      <w:bookmarkStart w:id="2" w:name="b"/>
      <w:bookmarkEnd w:id="2"/>
      <w:r w:rsidRPr="00BF1FD8">
        <w:rPr>
          <w:rFonts w:ascii="Helvetica" w:eastAsia="Times New Roman" w:hAnsi="Helvetica" w:cs="Helvetica"/>
          <w:b/>
          <w:bCs/>
          <w:color w:val="333333"/>
          <w:sz w:val="21"/>
          <w:szCs w:val="21"/>
          <w:lang w:val="en"/>
        </w:rPr>
        <w:t>(b) Acceptance, holding, and administration of gifts, donations, and bequests; use and investment of gifts, proceeds, etc.; funding requirements</w:t>
      </w:r>
      <w:r w:rsidRPr="00BF1FD8">
        <w:rPr>
          <w:rFonts w:ascii="Helvetica" w:eastAsia="Times New Roman" w:hAnsi="Helvetica" w:cs="Helvetica"/>
          <w:color w:val="333333"/>
          <w:sz w:val="21"/>
          <w:szCs w:val="21"/>
          <w:lang w:val="en"/>
        </w:rPr>
        <w:t xml:space="preserve"> </w:t>
      </w:r>
    </w:p>
    <w:p w:rsidR="00BF1FD8" w:rsidRPr="00BF1FD8" w:rsidRDefault="00BF1FD8" w:rsidP="00BF1FD8">
      <w:pPr>
        <w:spacing w:after="150" w:line="240" w:lineRule="auto"/>
        <w:rPr>
          <w:rFonts w:ascii="Helvetica" w:eastAsia="Times New Roman" w:hAnsi="Helvetica" w:cs="Helvetica"/>
          <w:color w:val="333333"/>
          <w:sz w:val="21"/>
          <w:szCs w:val="21"/>
          <w:lang w:val="en"/>
        </w:rPr>
      </w:pPr>
      <w:r w:rsidRPr="00BF1FD8">
        <w:rPr>
          <w:rFonts w:ascii="Helvetica" w:eastAsia="Times New Roman" w:hAnsi="Helvetica" w:cs="Helvetica"/>
          <w:color w:val="333333"/>
          <w:sz w:val="21"/>
          <w:szCs w:val="21"/>
          <w:lang w:val="en"/>
        </w:rPr>
        <w:t>In implementing this subchapter, the Secretary is authorized to accept, hold, and administer gifts, donations, and bequests of money, real property, or personal property from any source not otherwise prohibited by law and to use such gifts, donations, and bequests to (1) establish or operate any forest and rangeland research facility within the United States, or (2) perform any forest and rangeland renewable resource research activity authorized by this subchapter. Such gifts, donations, and bequests, or the proceeds thereof, and money appropriated for these purposes shall be deposited in the Treasury in a special fund. At the request of the Secretary, the Secretary of the Treasury may invest or reinvest any money in the fund that in the opinion of the Secretary is not needed for current operations. Such investments shall be in public debt securities with maturities suitable for the needs of the fund and bearing interest at prevailing market rates. There are hereby authorized to be expended from such fund such amounts as may be specified in annual appropriation Acts, which shall remain available until expended.</w:t>
      </w:r>
    </w:p>
    <w:p w:rsidR="00BF1FD8" w:rsidRPr="00BF1FD8" w:rsidRDefault="00BF1FD8" w:rsidP="00BF1FD8">
      <w:pPr>
        <w:spacing w:after="0" w:line="240" w:lineRule="auto"/>
        <w:rPr>
          <w:rFonts w:ascii="Helvetica" w:eastAsia="Times New Roman" w:hAnsi="Helvetica" w:cs="Helvetica"/>
          <w:color w:val="333333"/>
          <w:sz w:val="21"/>
          <w:szCs w:val="21"/>
          <w:lang w:val="en"/>
        </w:rPr>
      </w:pPr>
      <w:bookmarkStart w:id="3" w:name="c"/>
      <w:bookmarkEnd w:id="3"/>
      <w:r w:rsidRPr="00BF1FD8">
        <w:rPr>
          <w:rFonts w:ascii="Helvetica" w:eastAsia="Times New Roman" w:hAnsi="Helvetica" w:cs="Helvetica"/>
          <w:b/>
          <w:bCs/>
          <w:color w:val="333333"/>
          <w:sz w:val="21"/>
          <w:szCs w:val="21"/>
          <w:lang w:val="en"/>
        </w:rPr>
        <w:t>(c) Cooperation with international, Federal, State, and other governmental agencies, public and private agencies, etc.; funding requirements for contributions from cooperators</w:t>
      </w:r>
      <w:r w:rsidRPr="00BF1FD8">
        <w:rPr>
          <w:rFonts w:ascii="Helvetica" w:eastAsia="Times New Roman" w:hAnsi="Helvetica" w:cs="Helvetica"/>
          <w:color w:val="333333"/>
          <w:sz w:val="21"/>
          <w:szCs w:val="21"/>
          <w:lang w:val="en"/>
        </w:rPr>
        <w:t xml:space="preserve"> </w:t>
      </w:r>
    </w:p>
    <w:p w:rsidR="00BF1FD8" w:rsidRPr="00BF1FD8" w:rsidRDefault="00BF1FD8" w:rsidP="00BF1FD8">
      <w:pPr>
        <w:spacing w:after="150" w:line="240" w:lineRule="auto"/>
        <w:rPr>
          <w:rFonts w:ascii="Helvetica" w:eastAsia="Times New Roman" w:hAnsi="Helvetica" w:cs="Helvetica"/>
          <w:color w:val="333333"/>
          <w:sz w:val="21"/>
          <w:szCs w:val="21"/>
          <w:lang w:val="en"/>
        </w:rPr>
      </w:pPr>
      <w:r w:rsidRPr="00BF1FD8">
        <w:rPr>
          <w:rFonts w:ascii="Helvetica" w:eastAsia="Times New Roman" w:hAnsi="Helvetica" w:cs="Helvetica"/>
          <w:color w:val="333333"/>
          <w:sz w:val="21"/>
          <w:szCs w:val="21"/>
          <w:lang w:val="en"/>
        </w:rPr>
        <w:t>In implementing this subchapter, the Secretary may cooperate with international, Federal, State, and other governmental agencies, with public or private agencies, institutions, universities, and organizations, and with businesses and individuals in the United States and in other countries. The Secretary may receive money and other contributions from cooperators under such conditions as the Secretary may prescribe. Any money contributions received under this subsection shall be credited to the applicable appropriation or fund to be used for the same purposes and shall remain available until expended as the Secretary may direct for use in conducting research activities authorized by this subchapter and in making refunds to contributors.</w:t>
      </w:r>
    </w:p>
    <w:p w:rsidR="00BF1FD8" w:rsidRPr="00BF1FD8" w:rsidRDefault="00BF1FD8" w:rsidP="00BF1FD8">
      <w:pPr>
        <w:spacing w:after="60" w:line="240" w:lineRule="auto"/>
        <w:rPr>
          <w:rFonts w:ascii="Helvetica" w:eastAsia="Times New Roman" w:hAnsi="Helvetica" w:cs="Helvetica"/>
          <w:color w:val="333333"/>
          <w:sz w:val="21"/>
          <w:szCs w:val="21"/>
          <w:lang w:val="en"/>
        </w:rPr>
      </w:pPr>
      <w:r w:rsidRPr="00BF1FD8">
        <w:rPr>
          <w:rFonts w:ascii="Helvetica" w:eastAsia="Times New Roman" w:hAnsi="Helvetica" w:cs="Helvetica"/>
          <w:color w:val="333333"/>
          <w:sz w:val="21"/>
          <w:szCs w:val="21"/>
          <w:lang w:val="en"/>
        </w:rPr>
        <w:t>(</w:t>
      </w:r>
      <w:hyperlink r:id="rId5" w:tooltip="Pub. L. 95–307" w:history="1">
        <w:r w:rsidRPr="00BF1FD8">
          <w:rPr>
            <w:rFonts w:ascii="Helvetica" w:eastAsia="Times New Roman" w:hAnsi="Helvetica" w:cs="Helvetica"/>
            <w:color w:val="428BCA"/>
            <w:sz w:val="21"/>
            <w:szCs w:val="21"/>
            <w:lang w:val="en"/>
          </w:rPr>
          <w:t>Pub. L. 95–307</w:t>
        </w:r>
      </w:hyperlink>
      <w:r w:rsidRPr="00BF1FD8">
        <w:rPr>
          <w:rFonts w:ascii="Helvetica" w:eastAsia="Times New Roman" w:hAnsi="Helvetica" w:cs="Helvetica"/>
          <w:color w:val="333333"/>
          <w:sz w:val="21"/>
          <w:szCs w:val="21"/>
          <w:lang w:val="en"/>
        </w:rPr>
        <w:t>, § </w:t>
      </w:r>
      <w:proofErr w:type="gramStart"/>
      <w:r w:rsidRPr="00BF1FD8">
        <w:rPr>
          <w:rFonts w:ascii="Helvetica" w:eastAsia="Times New Roman" w:hAnsi="Helvetica" w:cs="Helvetica"/>
          <w:color w:val="333333"/>
          <w:sz w:val="21"/>
          <w:szCs w:val="21"/>
          <w:lang w:val="en"/>
        </w:rPr>
        <w:t>4(</w:t>
      </w:r>
      <w:proofErr w:type="gramEnd"/>
      <w:r w:rsidRPr="00BF1FD8">
        <w:rPr>
          <w:rFonts w:ascii="Helvetica" w:eastAsia="Times New Roman" w:hAnsi="Helvetica" w:cs="Helvetica"/>
          <w:color w:val="333333"/>
          <w:sz w:val="21"/>
          <w:szCs w:val="21"/>
          <w:lang w:val="en"/>
        </w:rPr>
        <w:t xml:space="preserve">a)–(c), June 30, 1978, </w:t>
      </w:r>
      <w:hyperlink r:id="rId6" w:tooltip="92 Stat. 354" w:history="1">
        <w:r w:rsidRPr="00BF1FD8">
          <w:rPr>
            <w:rFonts w:ascii="Helvetica" w:eastAsia="Times New Roman" w:hAnsi="Helvetica" w:cs="Helvetica"/>
            <w:color w:val="428BCA"/>
            <w:sz w:val="21"/>
            <w:szCs w:val="21"/>
            <w:lang w:val="en"/>
          </w:rPr>
          <w:t>92 Stat. 354</w:t>
        </w:r>
      </w:hyperlink>
      <w:r w:rsidRPr="00BF1FD8">
        <w:rPr>
          <w:rFonts w:ascii="Helvetica" w:eastAsia="Times New Roman" w:hAnsi="Helvetica" w:cs="Helvetica"/>
          <w:color w:val="333333"/>
          <w:sz w:val="21"/>
          <w:szCs w:val="21"/>
          <w:lang w:val="en"/>
        </w:rPr>
        <w:t xml:space="preserve">, 355; </w:t>
      </w:r>
      <w:hyperlink r:id="rId7" w:tooltip="Pub. L. 101–513, title VI" w:history="1">
        <w:r w:rsidRPr="00BF1FD8">
          <w:rPr>
            <w:rFonts w:ascii="Helvetica" w:eastAsia="Times New Roman" w:hAnsi="Helvetica" w:cs="Helvetica"/>
            <w:color w:val="428BCA"/>
            <w:sz w:val="21"/>
            <w:szCs w:val="21"/>
            <w:lang w:val="en"/>
          </w:rPr>
          <w:t>Pub. L. 101–513, title VI</w:t>
        </w:r>
      </w:hyperlink>
      <w:r w:rsidRPr="00BF1FD8">
        <w:rPr>
          <w:rFonts w:ascii="Helvetica" w:eastAsia="Times New Roman" w:hAnsi="Helvetica" w:cs="Helvetica"/>
          <w:color w:val="333333"/>
          <w:sz w:val="21"/>
          <w:szCs w:val="21"/>
          <w:lang w:val="en"/>
        </w:rPr>
        <w:t>, § </w:t>
      </w:r>
      <w:proofErr w:type="gramStart"/>
      <w:r w:rsidRPr="00BF1FD8">
        <w:rPr>
          <w:rFonts w:ascii="Helvetica" w:eastAsia="Times New Roman" w:hAnsi="Helvetica" w:cs="Helvetica"/>
          <w:color w:val="333333"/>
          <w:sz w:val="21"/>
          <w:szCs w:val="21"/>
          <w:lang w:val="en"/>
        </w:rPr>
        <w:t>611(</w:t>
      </w:r>
      <w:proofErr w:type="gramEnd"/>
      <w:r w:rsidRPr="00BF1FD8">
        <w:rPr>
          <w:rFonts w:ascii="Helvetica" w:eastAsia="Times New Roman" w:hAnsi="Helvetica" w:cs="Helvetica"/>
          <w:color w:val="333333"/>
          <w:sz w:val="21"/>
          <w:szCs w:val="21"/>
          <w:lang w:val="en"/>
        </w:rPr>
        <w:t xml:space="preserve">a)(2), formerly § 607(a)(2), Nov. 5, 1990, </w:t>
      </w:r>
      <w:hyperlink r:id="rId8" w:tooltip="104 Stat. 2072" w:history="1">
        <w:r w:rsidRPr="00BF1FD8">
          <w:rPr>
            <w:rFonts w:ascii="Helvetica" w:eastAsia="Times New Roman" w:hAnsi="Helvetica" w:cs="Helvetica"/>
            <w:color w:val="428BCA"/>
            <w:sz w:val="21"/>
            <w:szCs w:val="21"/>
            <w:lang w:val="en"/>
          </w:rPr>
          <w:t>104 Stat. 2072</w:t>
        </w:r>
      </w:hyperlink>
      <w:r w:rsidRPr="00BF1FD8">
        <w:rPr>
          <w:rFonts w:ascii="Helvetica" w:eastAsia="Times New Roman" w:hAnsi="Helvetica" w:cs="Helvetica"/>
          <w:color w:val="333333"/>
          <w:sz w:val="21"/>
          <w:szCs w:val="21"/>
          <w:lang w:val="en"/>
        </w:rPr>
        <w:t xml:space="preserve">, renumbered § 611(a)(2), </w:t>
      </w:r>
      <w:hyperlink r:id="rId9" w:tooltip="Pub. L. 102–574" w:history="1">
        <w:r w:rsidRPr="00BF1FD8">
          <w:rPr>
            <w:rFonts w:ascii="Helvetica" w:eastAsia="Times New Roman" w:hAnsi="Helvetica" w:cs="Helvetica"/>
            <w:color w:val="428BCA"/>
            <w:sz w:val="21"/>
            <w:szCs w:val="21"/>
            <w:lang w:val="en"/>
          </w:rPr>
          <w:t>Pub. L. 102–574</w:t>
        </w:r>
      </w:hyperlink>
      <w:r w:rsidRPr="00BF1FD8">
        <w:rPr>
          <w:rFonts w:ascii="Helvetica" w:eastAsia="Times New Roman" w:hAnsi="Helvetica" w:cs="Helvetica"/>
          <w:color w:val="333333"/>
          <w:sz w:val="21"/>
          <w:szCs w:val="21"/>
          <w:lang w:val="en"/>
        </w:rPr>
        <w:t>, § </w:t>
      </w:r>
      <w:proofErr w:type="gramStart"/>
      <w:r w:rsidRPr="00BF1FD8">
        <w:rPr>
          <w:rFonts w:ascii="Helvetica" w:eastAsia="Times New Roman" w:hAnsi="Helvetica" w:cs="Helvetica"/>
          <w:color w:val="333333"/>
          <w:sz w:val="21"/>
          <w:szCs w:val="21"/>
          <w:lang w:val="en"/>
        </w:rPr>
        <w:t>2(</w:t>
      </w:r>
      <w:proofErr w:type="gramEnd"/>
      <w:r w:rsidRPr="00BF1FD8">
        <w:rPr>
          <w:rFonts w:ascii="Helvetica" w:eastAsia="Times New Roman" w:hAnsi="Helvetica" w:cs="Helvetica"/>
          <w:color w:val="333333"/>
          <w:sz w:val="21"/>
          <w:szCs w:val="21"/>
          <w:lang w:val="en"/>
        </w:rPr>
        <w:t xml:space="preserve">a)(1), Oct. 29, 1992, </w:t>
      </w:r>
      <w:hyperlink r:id="rId10" w:tooltip="106 Stat. 4593" w:history="1">
        <w:r w:rsidRPr="00BF1FD8">
          <w:rPr>
            <w:rFonts w:ascii="Helvetica" w:eastAsia="Times New Roman" w:hAnsi="Helvetica" w:cs="Helvetica"/>
            <w:color w:val="428BCA"/>
            <w:sz w:val="21"/>
            <w:szCs w:val="21"/>
            <w:lang w:val="en"/>
          </w:rPr>
          <w:t>106 Stat. 4593</w:t>
        </w:r>
      </w:hyperlink>
      <w:r w:rsidRPr="00BF1FD8">
        <w:rPr>
          <w:rFonts w:ascii="Helvetica" w:eastAsia="Times New Roman" w:hAnsi="Helvetica" w:cs="Helvetica"/>
          <w:color w:val="333333"/>
          <w:sz w:val="21"/>
          <w:szCs w:val="21"/>
          <w:lang w:val="en"/>
        </w:rPr>
        <w:t>.)</w:t>
      </w:r>
    </w:p>
    <w:p w:rsidR="00372248" w:rsidRDefault="00372248"/>
    <w:sectPr w:rsidR="003722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DB4207"/>
    <w:multiLevelType w:val="multilevel"/>
    <w:tmpl w:val="AA2CD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FD8"/>
    <w:rsid w:val="00372248"/>
    <w:rsid w:val="00BF1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A4BD8F-472F-4B1A-9C8B-76BD37DFD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F1FD8"/>
    <w:pPr>
      <w:spacing w:before="300" w:after="150" w:line="240" w:lineRule="auto"/>
      <w:outlineLvl w:val="0"/>
    </w:pPr>
    <w:rPr>
      <w:rFonts w:ascii="inherit" w:eastAsia="Times New Roman" w:hAnsi="inherit" w:cs="Times New Roman"/>
      <w:kern w:val="36"/>
      <w:sz w:val="54"/>
      <w:szCs w:val="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FD8"/>
    <w:rPr>
      <w:rFonts w:ascii="inherit" w:eastAsia="Times New Roman" w:hAnsi="inherit" w:cs="Times New Roman"/>
      <w:kern w:val="36"/>
      <w:sz w:val="54"/>
      <w:szCs w:val="54"/>
    </w:rPr>
  </w:style>
  <w:style w:type="character" w:styleId="Hyperlink">
    <w:name w:val="Hyperlink"/>
    <w:basedOn w:val="DefaultParagraphFont"/>
    <w:uiPriority w:val="99"/>
    <w:semiHidden/>
    <w:unhideWhenUsed/>
    <w:rsid w:val="00BF1FD8"/>
    <w:rPr>
      <w:strike w:val="0"/>
      <w:dstrike w:val="0"/>
      <w:color w:val="428BCA"/>
      <w:u w:val="none"/>
      <w:effect w:val="none"/>
    </w:rPr>
  </w:style>
  <w:style w:type="paragraph" w:styleId="NormalWeb">
    <w:name w:val="Normal (Web)"/>
    <w:basedOn w:val="Normal"/>
    <w:uiPriority w:val="99"/>
    <w:semiHidden/>
    <w:unhideWhenUsed/>
    <w:rsid w:val="00BF1FD8"/>
    <w:pPr>
      <w:spacing w:after="150" w:line="240" w:lineRule="auto"/>
    </w:pPr>
    <w:rPr>
      <w:rFonts w:ascii="Times New Roman" w:eastAsia="Times New Roman" w:hAnsi="Times New Roman" w:cs="Times New Roman"/>
      <w:sz w:val="24"/>
      <w:szCs w:val="24"/>
    </w:rPr>
  </w:style>
  <w:style w:type="character" w:customStyle="1" w:styleId="num2">
    <w:name w:val="num2"/>
    <w:basedOn w:val="DefaultParagraphFont"/>
    <w:rsid w:val="00BF1FD8"/>
    <w:rPr>
      <w:b/>
      <w:bCs/>
    </w:rPr>
  </w:style>
  <w:style w:type="character" w:customStyle="1" w:styleId="heading2">
    <w:name w:val="heading2"/>
    <w:basedOn w:val="DefaultParagraphFont"/>
    <w:rsid w:val="00BF1FD8"/>
    <w:rPr>
      <w:b/>
      <w:bCs/>
    </w:rPr>
  </w:style>
  <w:style w:type="character" w:customStyle="1" w:styleId="date">
    <w:name w:val="date"/>
    <w:basedOn w:val="DefaultParagraphFont"/>
    <w:rsid w:val="00BF1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048083">
      <w:bodyDiv w:val="1"/>
      <w:marLeft w:val="0"/>
      <w:marRight w:val="0"/>
      <w:marTop w:val="0"/>
      <w:marBottom w:val="0"/>
      <w:divBdr>
        <w:top w:val="none" w:sz="0" w:space="0" w:color="auto"/>
        <w:left w:val="none" w:sz="0" w:space="0" w:color="auto"/>
        <w:bottom w:val="none" w:sz="0" w:space="0" w:color="auto"/>
        <w:right w:val="none" w:sz="0" w:space="0" w:color="auto"/>
      </w:divBdr>
      <w:divsChild>
        <w:div w:id="1399861684">
          <w:marLeft w:val="0"/>
          <w:marRight w:val="0"/>
          <w:marTop w:val="0"/>
          <w:marBottom w:val="0"/>
          <w:divBdr>
            <w:top w:val="none" w:sz="0" w:space="0" w:color="auto"/>
            <w:left w:val="none" w:sz="0" w:space="0" w:color="auto"/>
            <w:bottom w:val="none" w:sz="0" w:space="0" w:color="auto"/>
            <w:right w:val="none" w:sz="0" w:space="0" w:color="auto"/>
          </w:divBdr>
          <w:divsChild>
            <w:div w:id="1964575507">
              <w:marLeft w:val="0"/>
              <w:marRight w:val="0"/>
              <w:marTop w:val="0"/>
              <w:marBottom w:val="0"/>
              <w:divBdr>
                <w:top w:val="none" w:sz="0" w:space="0" w:color="auto"/>
                <w:left w:val="none" w:sz="0" w:space="0" w:color="auto"/>
                <w:bottom w:val="none" w:sz="0" w:space="0" w:color="auto"/>
                <w:right w:val="none" w:sz="0" w:space="0" w:color="auto"/>
              </w:divBdr>
              <w:divsChild>
                <w:div w:id="725684068">
                  <w:marLeft w:val="0"/>
                  <w:marRight w:val="0"/>
                  <w:marTop w:val="0"/>
                  <w:marBottom w:val="0"/>
                  <w:divBdr>
                    <w:top w:val="none" w:sz="0" w:space="0" w:color="auto"/>
                    <w:left w:val="none" w:sz="0" w:space="0" w:color="auto"/>
                    <w:bottom w:val="none" w:sz="0" w:space="0" w:color="auto"/>
                    <w:right w:val="none" w:sz="0" w:space="0" w:color="auto"/>
                  </w:divBdr>
                  <w:divsChild>
                    <w:div w:id="1859343737">
                      <w:marLeft w:val="0"/>
                      <w:marRight w:val="0"/>
                      <w:marTop w:val="0"/>
                      <w:marBottom w:val="0"/>
                      <w:divBdr>
                        <w:top w:val="none" w:sz="0" w:space="0" w:color="auto"/>
                        <w:left w:val="none" w:sz="0" w:space="0" w:color="auto"/>
                        <w:bottom w:val="none" w:sz="0" w:space="0" w:color="auto"/>
                        <w:right w:val="none" w:sz="0" w:space="0" w:color="auto"/>
                      </w:divBdr>
                      <w:divsChild>
                        <w:div w:id="730663463">
                          <w:marLeft w:val="0"/>
                          <w:marRight w:val="0"/>
                          <w:marTop w:val="0"/>
                          <w:marBottom w:val="0"/>
                          <w:divBdr>
                            <w:top w:val="none" w:sz="0" w:space="0" w:color="auto"/>
                            <w:left w:val="none" w:sz="0" w:space="0" w:color="auto"/>
                            <w:bottom w:val="none" w:sz="0" w:space="0" w:color="auto"/>
                            <w:right w:val="none" w:sz="0" w:space="0" w:color="auto"/>
                          </w:divBdr>
                          <w:divsChild>
                            <w:div w:id="1864518315">
                              <w:marLeft w:val="0"/>
                              <w:marRight w:val="0"/>
                              <w:marTop w:val="0"/>
                              <w:marBottom w:val="240"/>
                              <w:divBdr>
                                <w:top w:val="none" w:sz="0" w:space="0" w:color="auto"/>
                                <w:left w:val="none" w:sz="0" w:space="0" w:color="auto"/>
                                <w:bottom w:val="none" w:sz="0" w:space="0" w:color="auto"/>
                                <w:right w:val="none" w:sz="0" w:space="0" w:color="auto"/>
                              </w:divBdr>
                              <w:divsChild>
                                <w:div w:id="7370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018">
                          <w:marLeft w:val="0"/>
                          <w:marRight w:val="0"/>
                          <w:marTop w:val="0"/>
                          <w:marBottom w:val="0"/>
                          <w:divBdr>
                            <w:top w:val="none" w:sz="0" w:space="0" w:color="auto"/>
                            <w:left w:val="none" w:sz="0" w:space="0" w:color="auto"/>
                            <w:bottom w:val="none" w:sz="0" w:space="0" w:color="auto"/>
                            <w:right w:val="none" w:sz="0" w:space="0" w:color="auto"/>
                          </w:divBdr>
                          <w:divsChild>
                            <w:div w:id="2138797549">
                              <w:marLeft w:val="0"/>
                              <w:marRight w:val="0"/>
                              <w:marTop w:val="0"/>
                              <w:marBottom w:val="0"/>
                              <w:divBdr>
                                <w:top w:val="none" w:sz="0" w:space="0" w:color="auto"/>
                                <w:left w:val="none" w:sz="0" w:space="0" w:color="auto"/>
                                <w:bottom w:val="none" w:sz="0" w:space="0" w:color="auto"/>
                                <w:right w:val="none" w:sz="0" w:space="0" w:color="auto"/>
                              </w:divBdr>
                              <w:divsChild>
                                <w:div w:id="929853862">
                                  <w:marLeft w:val="0"/>
                                  <w:marRight w:val="0"/>
                                  <w:marTop w:val="0"/>
                                  <w:marBottom w:val="0"/>
                                  <w:divBdr>
                                    <w:top w:val="none" w:sz="0" w:space="0" w:color="auto"/>
                                    <w:left w:val="none" w:sz="0" w:space="0" w:color="auto"/>
                                    <w:bottom w:val="none" w:sz="0" w:space="0" w:color="auto"/>
                                    <w:right w:val="none" w:sz="0" w:space="0" w:color="auto"/>
                                  </w:divBdr>
                                </w:div>
                                <w:div w:id="1546716374">
                                  <w:marLeft w:val="0"/>
                                  <w:marRight w:val="0"/>
                                  <w:marTop w:val="0"/>
                                  <w:marBottom w:val="0"/>
                                  <w:divBdr>
                                    <w:top w:val="none" w:sz="0" w:space="0" w:color="auto"/>
                                    <w:left w:val="none" w:sz="0" w:space="0" w:color="auto"/>
                                    <w:bottom w:val="none" w:sz="0" w:space="0" w:color="auto"/>
                                    <w:right w:val="none" w:sz="0" w:space="0" w:color="auto"/>
                                  </w:divBdr>
                                  <w:divsChild>
                                    <w:div w:id="1283927319">
                                      <w:marLeft w:val="0"/>
                                      <w:marRight w:val="0"/>
                                      <w:marTop w:val="0"/>
                                      <w:marBottom w:val="0"/>
                                      <w:divBdr>
                                        <w:top w:val="none" w:sz="0" w:space="0" w:color="auto"/>
                                        <w:left w:val="none" w:sz="0" w:space="0" w:color="auto"/>
                                        <w:bottom w:val="none" w:sz="0" w:space="0" w:color="auto"/>
                                        <w:right w:val="none" w:sz="0" w:space="0" w:color="auto"/>
                                      </w:divBdr>
                                      <w:divsChild>
                                        <w:div w:id="373578357">
                                          <w:marLeft w:val="0"/>
                                          <w:marRight w:val="0"/>
                                          <w:marTop w:val="0"/>
                                          <w:marBottom w:val="0"/>
                                          <w:divBdr>
                                            <w:top w:val="none" w:sz="0" w:space="0" w:color="auto"/>
                                            <w:left w:val="none" w:sz="0" w:space="0" w:color="auto"/>
                                            <w:bottom w:val="none" w:sz="0" w:space="0" w:color="auto"/>
                                            <w:right w:val="none" w:sz="0" w:space="0" w:color="auto"/>
                                          </w:divBdr>
                                          <w:divsChild>
                                            <w:div w:id="1947082164">
                                              <w:marLeft w:val="0"/>
                                              <w:marRight w:val="0"/>
                                              <w:marTop w:val="0"/>
                                              <w:marBottom w:val="0"/>
                                              <w:divBdr>
                                                <w:top w:val="none" w:sz="0" w:space="0" w:color="auto"/>
                                                <w:left w:val="none" w:sz="0" w:space="0" w:color="auto"/>
                                                <w:bottom w:val="none" w:sz="0" w:space="0" w:color="auto"/>
                                                <w:right w:val="none" w:sz="0" w:space="0" w:color="auto"/>
                                              </w:divBdr>
                                              <w:divsChild>
                                                <w:div w:id="1768572903">
                                                  <w:marLeft w:val="0"/>
                                                  <w:marRight w:val="0"/>
                                                  <w:marTop w:val="0"/>
                                                  <w:marBottom w:val="0"/>
                                                  <w:divBdr>
                                                    <w:top w:val="none" w:sz="0" w:space="0" w:color="auto"/>
                                                    <w:left w:val="none" w:sz="0" w:space="0" w:color="auto"/>
                                                    <w:bottom w:val="none" w:sz="0" w:space="0" w:color="auto"/>
                                                    <w:right w:val="none" w:sz="0" w:space="0" w:color="auto"/>
                                                  </w:divBdr>
                                                  <w:divsChild>
                                                    <w:div w:id="563178259">
                                                      <w:marLeft w:val="0"/>
                                                      <w:marRight w:val="0"/>
                                                      <w:marTop w:val="240"/>
                                                      <w:marBottom w:val="60"/>
                                                      <w:divBdr>
                                                        <w:top w:val="none" w:sz="0" w:space="0" w:color="auto"/>
                                                        <w:left w:val="none" w:sz="0" w:space="0" w:color="auto"/>
                                                        <w:bottom w:val="none" w:sz="0" w:space="0" w:color="auto"/>
                                                        <w:right w:val="none" w:sz="0" w:space="0" w:color="auto"/>
                                                      </w:divBdr>
                                                      <w:divsChild>
                                                        <w:div w:id="280578547">
                                                          <w:marLeft w:val="0"/>
                                                          <w:marRight w:val="0"/>
                                                          <w:marTop w:val="0"/>
                                                          <w:marBottom w:val="0"/>
                                                          <w:divBdr>
                                                            <w:top w:val="none" w:sz="0" w:space="0" w:color="auto"/>
                                                            <w:left w:val="none" w:sz="0" w:space="0" w:color="auto"/>
                                                            <w:bottom w:val="none" w:sz="0" w:space="0" w:color="auto"/>
                                                            <w:right w:val="none" w:sz="0" w:space="0" w:color="auto"/>
                                                          </w:divBdr>
                                                        </w:div>
                                                        <w:div w:id="1990163243">
                                                          <w:marLeft w:val="240"/>
                                                          <w:marRight w:val="0"/>
                                                          <w:marTop w:val="60"/>
                                                          <w:marBottom w:val="60"/>
                                                          <w:divBdr>
                                                            <w:top w:val="none" w:sz="0" w:space="0" w:color="auto"/>
                                                            <w:left w:val="none" w:sz="0" w:space="0" w:color="auto"/>
                                                            <w:bottom w:val="none" w:sz="0" w:space="0" w:color="auto"/>
                                                            <w:right w:val="none" w:sz="0" w:space="0" w:color="auto"/>
                                                          </w:divBdr>
                                                          <w:divsChild>
                                                            <w:div w:id="67384010">
                                                              <w:marLeft w:val="0"/>
                                                              <w:marRight w:val="0"/>
                                                              <w:marTop w:val="0"/>
                                                              <w:marBottom w:val="0"/>
                                                              <w:divBdr>
                                                                <w:top w:val="none" w:sz="0" w:space="0" w:color="auto"/>
                                                                <w:left w:val="none" w:sz="0" w:space="0" w:color="auto"/>
                                                                <w:bottom w:val="none" w:sz="0" w:space="0" w:color="auto"/>
                                                                <w:right w:val="none" w:sz="0" w:space="0" w:color="auto"/>
                                                              </w:divBdr>
                                                            </w:div>
                                                          </w:divsChild>
                                                        </w:div>
                                                        <w:div w:id="540829118">
                                                          <w:marLeft w:val="240"/>
                                                          <w:marRight w:val="0"/>
                                                          <w:marTop w:val="60"/>
                                                          <w:marBottom w:val="60"/>
                                                          <w:divBdr>
                                                            <w:top w:val="none" w:sz="0" w:space="0" w:color="auto"/>
                                                            <w:left w:val="none" w:sz="0" w:space="0" w:color="auto"/>
                                                            <w:bottom w:val="none" w:sz="0" w:space="0" w:color="auto"/>
                                                            <w:right w:val="none" w:sz="0" w:space="0" w:color="auto"/>
                                                          </w:divBdr>
                                                          <w:divsChild>
                                                            <w:div w:id="1419713836">
                                                              <w:marLeft w:val="0"/>
                                                              <w:marRight w:val="0"/>
                                                              <w:marTop w:val="0"/>
                                                              <w:marBottom w:val="0"/>
                                                              <w:divBdr>
                                                                <w:top w:val="none" w:sz="0" w:space="0" w:color="auto"/>
                                                                <w:left w:val="none" w:sz="0" w:space="0" w:color="auto"/>
                                                                <w:bottom w:val="none" w:sz="0" w:space="0" w:color="auto"/>
                                                                <w:right w:val="none" w:sz="0" w:space="0" w:color="auto"/>
                                                              </w:divBdr>
                                                            </w:div>
                                                          </w:divsChild>
                                                        </w:div>
                                                        <w:div w:id="92291242">
                                                          <w:marLeft w:val="240"/>
                                                          <w:marRight w:val="0"/>
                                                          <w:marTop w:val="60"/>
                                                          <w:marBottom w:val="60"/>
                                                          <w:divBdr>
                                                            <w:top w:val="none" w:sz="0" w:space="0" w:color="auto"/>
                                                            <w:left w:val="none" w:sz="0" w:space="0" w:color="auto"/>
                                                            <w:bottom w:val="none" w:sz="0" w:space="0" w:color="auto"/>
                                                            <w:right w:val="none" w:sz="0" w:space="0" w:color="auto"/>
                                                          </w:divBdr>
                                                          <w:divsChild>
                                                            <w:div w:id="1240365982">
                                                              <w:marLeft w:val="0"/>
                                                              <w:marRight w:val="0"/>
                                                              <w:marTop w:val="0"/>
                                                              <w:marBottom w:val="0"/>
                                                              <w:divBdr>
                                                                <w:top w:val="none" w:sz="0" w:space="0" w:color="auto"/>
                                                                <w:left w:val="none" w:sz="0" w:space="0" w:color="auto"/>
                                                                <w:bottom w:val="none" w:sz="0" w:space="0" w:color="auto"/>
                                                                <w:right w:val="none" w:sz="0" w:space="0" w:color="auto"/>
                                                              </w:divBdr>
                                                            </w:div>
                                                          </w:divsChild>
                                                        </w:div>
                                                        <w:div w:id="117737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code.house.gov/statviewer.htm?volume=104&amp;page=2072" TargetMode="External"/><Relationship Id="rId3" Type="http://schemas.openxmlformats.org/officeDocument/2006/relationships/settings" Target="settings.xml"/><Relationship Id="rId7" Type="http://schemas.openxmlformats.org/officeDocument/2006/relationships/hyperlink" Target="http://thomas.loc.gov/cgi-bin/bdquery/L?d101:./list/bd/d101pl.lst:513(Public_Law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scode.house.gov/statviewer.htm?volume=92&amp;page=354" TargetMode="External"/><Relationship Id="rId11" Type="http://schemas.openxmlformats.org/officeDocument/2006/relationships/fontTable" Target="fontTable.xml"/><Relationship Id="rId5" Type="http://schemas.openxmlformats.org/officeDocument/2006/relationships/hyperlink" Target="http://thomas.loc.gov/cgi-bin/bdquery/L?d095:./list/bd/d095pl.lst:307(Public_Laws)" TargetMode="External"/><Relationship Id="rId10" Type="http://schemas.openxmlformats.org/officeDocument/2006/relationships/hyperlink" Target="http://uscode.house.gov/statviewer.htm?volume=106&amp;page=4593" TargetMode="External"/><Relationship Id="rId4" Type="http://schemas.openxmlformats.org/officeDocument/2006/relationships/webSettings" Target="webSettings.xml"/><Relationship Id="rId9" Type="http://schemas.openxmlformats.org/officeDocument/2006/relationships/hyperlink" Target="http://thomas.loc.gov/cgi-bin/bdquery/L?d102:./list/bd/d102pl.lst:574(Public_La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3868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Suzanne N -FS</dc:creator>
  <cp:keywords/>
  <dc:description/>
  <cp:lastModifiedBy>Taylor, Suzanne N -FS</cp:lastModifiedBy>
  <cp:revision>1</cp:revision>
  <dcterms:created xsi:type="dcterms:W3CDTF">2017-05-31T20:37:00Z</dcterms:created>
  <dcterms:modified xsi:type="dcterms:W3CDTF">2017-05-31T20:38:00Z</dcterms:modified>
</cp:coreProperties>
</file>