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4D0" w:rsidRDefault="00200680" w:rsidP="00C874D0">
      <w:pPr>
        <w:ind w:right="-180"/>
        <w:jc w:val="center"/>
        <w:rPr>
          <w:rFonts w:ascii="Times New Roman" w:hAnsi="Times New Roman"/>
          <w:b/>
          <w:noProof w:val="0"/>
          <w:u w:val="single"/>
        </w:rPr>
      </w:pPr>
      <w:r w:rsidRPr="00EC3DDD">
        <w:rPr>
          <w:rFonts w:ascii="Times New Roman" w:hAnsi="Times New Roman"/>
          <w:b/>
          <w:noProof w:val="0"/>
          <w:u w:val="single"/>
        </w:rPr>
        <w:t xml:space="preserve">Guidelines for </w:t>
      </w:r>
      <w:r>
        <w:rPr>
          <w:rFonts w:ascii="Times New Roman" w:hAnsi="Times New Roman"/>
          <w:b/>
          <w:noProof w:val="0"/>
          <w:u w:val="single"/>
        </w:rPr>
        <w:t xml:space="preserve">Cost Allocation and </w:t>
      </w:r>
      <w:r w:rsidRPr="00EC3DDD">
        <w:rPr>
          <w:rFonts w:ascii="Times New Roman" w:hAnsi="Times New Roman"/>
          <w:b/>
          <w:noProof w:val="0"/>
          <w:u w:val="single"/>
        </w:rPr>
        <w:t>Special Conditions</w:t>
      </w:r>
      <w:r w:rsidR="00532215">
        <w:rPr>
          <w:rFonts w:ascii="Times New Roman" w:hAnsi="Times New Roman"/>
          <w:b/>
          <w:noProof w:val="0"/>
          <w:u w:val="single"/>
        </w:rPr>
        <w:t xml:space="preserve"> for an</w:t>
      </w:r>
      <w:r w:rsidRPr="00EC3DDD">
        <w:rPr>
          <w:rFonts w:ascii="Times New Roman" w:hAnsi="Times New Roman"/>
          <w:b/>
          <w:noProof w:val="0"/>
          <w:u w:val="single"/>
        </w:rPr>
        <w:t xml:space="preserve"> </w:t>
      </w:r>
    </w:p>
    <w:p w:rsidR="00200680" w:rsidRDefault="00200680" w:rsidP="00C874D0">
      <w:pPr>
        <w:ind w:right="-180"/>
        <w:jc w:val="center"/>
        <w:rPr>
          <w:rFonts w:ascii="Times New Roman" w:hAnsi="Times New Roman"/>
          <w:b/>
          <w:noProof w:val="0"/>
          <w:u w:val="single"/>
        </w:rPr>
      </w:pPr>
      <w:r>
        <w:rPr>
          <w:rFonts w:ascii="Times New Roman" w:hAnsi="Times New Roman"/>
          <w:b/>
          <w:noProof w:val="0"/>
          <w:u w:val="single"/>
        </w:rPr>
        <w:t>Agreement to Initiate</w:t>
      </w:r>
      <w:r w:rsidR="00532215">
        <w:rPr>
          <w:rFonts w:ascii="Times New Roman" w:hAnsi="Times New Roman"/>
          <w:b/>
          <w:noProof w:val="0"/>
          <w:u w:val="single"/>
        </w:rPr>
        <w:t>—Exhibits C and D</w:t>
      </w:r>
    </w:p>
    <w:p w:rsidR="001742D3" w:rsidRDefault="001742D3" w:rsidP="00D7334F">
      <w:pPr>
        <w:spacing w:after="60"/>
        <w:ind w:right="-187"/>
        <w:rPr>
          <w:rFonts w:ascii="Times New Roman" w:hAnsi="Times New Roman"/>
          <w:noProof w:val="0"/>
        </w:rPr>
      </w:pPr>
    </w:p>
    <w:p w:rsidR="00200680" w:rsidRPr="00C0334B" w:rsidRDefault="00C0334B" w:rsidP="001742D3">
      <w:pPr>
        <w:spacing w:after="120"/>
        <w:ind w:right="-187"/>
        <w:rPr>
          <w:rFonts w:ascii="Times New Roman" w:hAnsi="Times New Roman"/>
          <w:i/>
          <w:noProof w:val="0"/>
        </w:rPr>
      </w:pPr>
      <w:r w:rsidRPr="00C0334B">
        <w:rPr>
          <w:rFonts w:ascii="Times New Roman" w:hAnsi="Times New Roman"/>
          <w:i/>
          <w:noProof w:val="0"/>
        </w:rPr>
        <w:t>Information p</w:t>
      </w:r>
      <w:r w:rsidR="001742D3" w:rsidRPr="00C0334B">
        <w:rPr>
          <w:rFonts w:ascii="Times New Roman" w:hAnsi="Times New Roman"/>
          <w:i/>
          <w:noProof w:val="0"/>
        </w:rPr>
        <w:t>er the land exchange handbook (</w:t>
      </w:r>
      <w:r w:rsidR="00200680" w:rsidRPr="00C0334B">
        <w:rPr>
          <w:rFonts w:ascii="Times New Roman" w:hAnsi="Times New Roman"/>
          <w:i/>
          <w:noProof w:val="0"/>
        </w:rPr>
        <w:t>FSH 5409.13, sec. 32.3 – 32.34</w:t>
      </w:r>
      <w:r w:rsidR="001742D3" w:rsidRPr="00C0334B">
        <w:rPr>
          <w:rFonts w:ascii="Times New Roman" w:hAnsi="Times New Roman"/>
          <w:i/>
          <w:noProof w:val="0"/>
        </w:rPr>
        <w:t>)</w:t>
      </w:r>
      <w:r w:rsidRPr="00C0334B">
        <w:rPr>
          <w:rFonts w:ascii="Times New Roman" w:hAnsi="Times New Roman"/>
          <w:i/>
          <w:noProof w:val="0"/>
        </w:rPr>
        <w:t xml:space="preserve"> – with specifics added for use of the ATI as a fund collection mechanism</w:t>
      </w:r>
      <w:r w:rsidR="00200680" w:rsidRPr="00C0334B">
        <w:rPr>
          <w:rFonts w:ascii="Times New Roman" w:hAnsi="Times New Roman"/>
          <w:i/>
          <w:noProof w:val="0"/>
        </w:rPr>
        <w:t>:</w:t>
      </w:r>
    </w:p>
    <w:p w:rsidR="00200680" w:rsidRDefault="00200680" w:rsidP="00200680">
      <w:pPr>
        <w:numPr>
          <w:ilvl w:val="1"/>
          <w:numId w:val="1"/>
        </w:numPr>
        <w:spacing w:after="40"/>
        <w:ind w:left="360" w:right="-187"/>
        <w:rPr>
          <w:rFonts w:ascii="Times New Roman" w:hAnsi="Times New Roman"/>
          <w:noProof w:val="0"/>
        </w:rPr>
      </w:pPr>
      <w:r>
        <w:rPr>
          <w:rFonts w:ascii="Times New Roman" w:hAnsi="Times New Roman"/>
          <w:noProof w:val="0"/>
        </w:rPr>
        <w:t>Land exchanges benefit Federal and non-Federal parties, and each should share in the costs of processing the exchange</w:t>
      </w:r>
      <w:r w:rsidR="001742D3">
        <w:rPr>
          <w:rFonts w:ascii="Times New Roman" w:hAnsi="Times New Roman"/>
          <w:noProof w:val="0"/>
        </w:rPr>
        <w:t>.</w:t>
      </w:r>
    </w:p>
    <w:p w:rsidR="00200680" w:rsidRDefault="00200680" w:rsidP="00200680">
      <w:pPr>
        <w:numPr>
          <w:ilvl w:val="1"/>
          <w:numId w:val="1"/>
        </w:numPr>
        <w:spacing w:after="40"/>
        <w:ind w:left="360" w:right="-187"/>
        <w:rPr>
          <w:rFonts w:ascii="Times New Roman" w:hAnsi="Times New Roman"/>
          <w:noProof w:val="0"/>
        </w:rPr>
      </w:pPr>
      <w:r>
        <w:rPr>
          <w:rFonts w:ascii="Times New Roman" w:hAnsi="Times New Roman"/>
          <w:noProof w:val="0"/>
        </w:rPr>
        <w:t>At a minimum, require the non-Federal party to pay for title insurance, advertising, hazmat cleanup, and land surveys associated with the non-Fed land.</w:t>
      </w:r>
    </w:p>
    <w:p w:rsidR="00200680" w:rsidRDefault="00200680" w:rsidP="00200680">
      <w:pPr>
        <w:numPr>
          <w:ilvl w:val="1"/>
          <w:numId w:val="1"/>
        </w:numPr>
        <w:spacing w:after="40"/>
        <w:ind w:left="360" w:right="-187"/>
        <w:rPr>
          <w:rFonts w:ascii="Times New Roman" w:hAnsi="Times New Roman"/>
          <w:noProof w:val="0"/>
        </w:rPr>
      </w:pPr>
      <w:r>
        <w:rPr>
          <w:rFonts w:ascii="Times New Roman" w:hAnsi="Times New Roman"/>
          <w:noProof w:val="0"/>
        </w:rPr>
        <w:t xml:space="preserve">Generally, appraisal costs should </w:t>
      </w:r>
      <w:r w:rsidRPr="002924E8">
        <w:rPr>
          <w:rFonts w:ascii="Times New Roman" w:hAnsi="Times New Roman"/>
          <w:noProof w:val="0"/>
          <w:u w:val="single"/>
        </w:rPr>
        <w:t>not</w:t>
      </w:r>
      <w:r>
        <w:rPr>
          <w:rFonts w:ascii="Times New Roman" w:hAnsi="Times New Roman"/>
          <w:noProof w:val="0"/>
        </w:rPr>
        <w:t xml:space="preserve"> be shared.</w:t>
      </w:r>
    </w:p>
    <w:p w:rsidR="00200680" w:rsidRDefault="00200680" w:rsidP="00200680">
      <w:pPr>
        <w:numPr>
          <w:ilvl w:val="1"/>
          <w:numId w:val="1"/>
        </w:numPr>
        <w:spacing w:after="40"/>
        <w:ind w:left="360" w:right="-187"/>
        <w:rPr>
          <w:rFonts w:ascii="Times New Roman" w:hAnsi="Times New Roman"/>
          <w:noProof w:val="0"/>
        </w:rPr>
      </w:pPr>
      <w:r>
        <w:rPr>
          <w:rFonts w:ascii="Times New Roman" w:hAnsi="Times New Roman"/>
          <w:noProof w:val="0"/>
        </w:rPr>
        <w:t>The USFS cannot pay non-Fed parties for non-contractual work they perform.</w:t>
      </w:r>
    </w:p>
    <w:p w:rsidR="00200680" w:rsidRDefault="00200680" w:rsidP="00200680">
      <w:pPr>
        <w:numPr>
          <w:ilvl w:val="1"/>
          <w:numId w:val="1"/>
        </w:numPr>
        <w:spacing w:after="40"/>
        <w:ind w:left="360" w:right="-187"/>
        <w:rPr>
          <w:rFonts w:ascii="Times New Roman" w:hAnsi="Times New Roman"/>
          <w:noProof w:val="0"/>
        </w:rPr>
      </w:pPr>
      <w:r>
        <w:rPr>
          <w:rFonts w:ascii="Times New Roman" w:hAnsi="Times New Roman"/>
          <w:noProof w:val="0"/>
        </w:rPr>
        <w:t>Each party should share costs by assigning complete components to an individual party rather than sharing the costs of individual components.</w:t>
      </w:r>
    </w:p>
    <w:p w:rsidR="00200680" w:rsidRDefault="00200680" w:rsidP="00200680">
      <w:pPr>
        <w:numPr>
          <w:ilvl w:val="1"/>
          <w:numId w:val="1"/>
        </w:numPr>
        <w:spacing w:after="40"/>
        <w:ind w:left="360" w:right="-187"/>
        <w:rPr>
          <w:rFonts w:ascii="Times New Roman" w:hAnsi="Times New Roman"/>
          <w:noProof w:val="0"/>
        </w:rPr>
      </w:pPr>
      <w:r>
        <w:rPr>
          <w:rFonts w:ascii="Times New Roman" w:hAnsi="Times New Roman"/>
          <w:noProof w:val="0"/>
        </w:rPr>
        <w:t xml:space="preserve">When it is necessary to share the costs of a specific report or study, the terms for cost sharing </w:t>
      </w:r>
      <w:r>
        <w:rPr>
          <w:rFonts w:ascii="Times New Roman" w:hAnsi="Times New Roman"/>
          <w:noProof w:val="0"/>
          <w:u w:val="single"/>
        </w:rPr>
        <w:t>shall</w:t>
      </w:r>
      <w:r>
        <w:rPr>
          <w:rFonts w:ascii="Times New Roman" w:hAnsi="Times New Roman"/>
          <w:noProof w:val="0"/>
        </w:rPr>
        <w:t xml:space="preserve"> be documented in Exhibit D of the ATI.  Define—in the Special Conditions section--the specific responsibilities of each party for contracting/completing the work, expected timeframes, provisions on how payment will be made, and by whom.  Show specific cost estimates in the Cost/Allocation table. </w:t>
      </w:r>
    </w:p>
    <w:p w:rsidR="00200680" w:rsidRDefault="00200680" w:rsidP="00200680">
      <w:pPr>
        <w:numPr>
          <w:ilvl w:val="1"/>
          <w:numId w:val="1"/>
        </w:numPr>
        <w:spacing w:after="40"/>
        <w:ind w:left="360" w:right="-187"/>
        <w:rPr>
          <w:rFonts w:ascii="Times New Roman" w:hAnsi="Times New Roman"/>
          <w:noProof w:val="0"/>
        </w:rPr>
      </w:pPr>
      <w:r>
        <w:rPr>
          <w:rFonts w:ascii="Times New Roman" w:hAnsi="Times New Roman"/>
          <w:noProof w:val="0"/>
        </w:rPr>
        <w:t xml:space="preserve">When the non-Federal party contracts for a product or service, specify USFS requirements for an acceptable product or service in the Special Conditions section of Exhibit D.  (USFS has the responsibility to participate with the non-Federal party in screening and selection of the contractor, and providing standards to be met.)  </w:t>
      </w:r>
    </w:p>
    <w:p w:rsidR="00200680" w:rsidRDefault="00200680" w:rsidP="00200680">
      <w:pPr>
        <w:numPr>
          <w:ilvl w:val="1"/>
          <w:numId w:val="1"/>
        </w:numPr>
        <w:spacing w:after="40"/>
        <w:ind w:left="360" w:right="-187"/>
        <w:rPr>
          <w:rFonts w:ascii="Times New Roman" w:hAnsi="Times New Roman"/>
          <w:noProof w:val="0"/>
        </w:rPr>
      </w:pPr>
      <w:r>
        <w:rPr>
          <w:rFonts w:ascii="Times New Roman" w:hAnsi="Times New Roman"/>
          <w:noProof w:val="0"/>
        </w:rPr>
        <w:t>If the USFS is paying for a product/service contracted by the non-Federal party, payment cannot be made until the product/service has been completed, and approved/accepted by the USFS.</w:t>
      </w:r>
    </w:p>
    <w:p w:rsidR="00200680" w:rsidRDefault="004B148A" w:rsidP="00200680">
      <w:pPr>
        <w:numPr>
          <w:ilvl w:val="1"/>
          <w:numId w:val="1"/>
        </w:numPr>
        <w:spacing w:after="40"/>
        <w:ind w:left="360" w:right="-187"/>
        <w:rPr>
          <w:rFonts w:ascii="Times New Roman" w:hAnsi="Times New Roman"/>
          <w:noProof w:val="0"/>
        </w:rPr>
      </w:pPr>
      <w:r>
        <w:rPr>
          <w:rFonts w:ascii="Times New Roman" w:hAnsi="Times New Roman"/>
          <w:noProof w:val="0"/>
        </w:rPr>
        <w:t>S</w:t>
      </w:r>
      <w:r w:rsidR="00200680">
        <w:rPr>
          <w:rFonts w:ascii="Times New Roman" w:hAnsi="Times New Roman"/>
          <w:noProof w:val="0"/>
        </w:rPr>
        <w:t>ec. 32.34 of the handbook states that the ATI must include a statement that overhead costs are waived, or specify the rate at which overhead must be assessed</w:t>
      </w:r>
      <w:r>
        <w:rPr>
          <w:rFonts w:ascii="Times New Roman" w:hAnsi="Times New Roman"/>
          <w:noProof w:val="0"/>
        </w:rPr>
        <w:t xml:space="preserve">.  Since </w:t>
      </w:r>
      <w:r w:rsidR="00200680">
        <w:rPr>
          <w:rFonts w:ascii="Times New Roman" w:hAnsi="Times New Roman"/>
          <w:noProof w:val="0"/>
        </w:rPr>
        <w:t xml:space="preserve">a </w:t>
      </w:r>
      <w:r w:rsidR="00200680" w:rsidRPr="004B148A">
        <w:rPr>
          <w:rFonts w:ascii="Times New Roman" w:hAnsi="Times New Roman"/>
          <w:i/>
          <w:noProof w:val="0"/>
        </w:rPr>
        <w:t>discretionary</w:t>
      </w:r>
      <w:r w:rsidR="00200680">
        <w:rPr>
          <w:rFonts w:ascii="Times New Roman" w:hAnsi="Times New Roman"/>
          <w:noProof w:val="0"/>
        </w:rPr>
        <w:t xml:space="preserve"> </w:t>
      </w:r>
      <w:r w:rsidR="00532215">
        <w:rPr>
          <w:rFonts w:ascii="Times New Roman" w:hAnsi="Times New Roman"/>
          <w:noProof w:val="0"/>
        </w:rPr>
        <w:t xml:space="preserve">land </w:t>
      </w:r>
      <w:r w:rsidR="00200680">
        <w:rPr>
          <w:rFonts w:ascii="Times New Roman" w:hAnsi="Times New Roman"/>
          <w:noProof w:val="0"/>
        </w:rPr>
        <w:t xml:space="preserve">exchange </w:t>
      </w:r>
      <w:r>
        <w:rPr>
          <w:rFonts w:ascii="Times New Roman" w:hAnsi="Times New Roman"/>
          <w:noProof w:val="0"/>
        </w:rPr>
        <w:t xml:space="preserve">is essentially </w:t>
      </w:r>
      <w:r w:rsidR="00200680">
        <w:rPr>
          <w:rFonts w:ascii="Times New Roman" w:hAnsi="Times New Roman"/>
          <w:noProof w:val="0"/>
        </w:rPr>
        <w:t>by definition a mutually beneficial activity</w:t>
      </w:r>
      <w:r>
        <w:rPr>
          <w:rFonts w:ascii="Times New Roman" w:hAnsi="Times New Roman"/>
          <w:noProof w:val="0"/>
        </w:rPr>
        <w:t xml:space="preserve">, </w:t>
      </w:r>
      <w:r w:rsidR="00200680">
        <w:rPr>
          <w:rFonts w:ascii="Times New Roman" w:hAnsi="Times New Roman"/>
          <w:noProof w:val="0"/>
        </w:rPr>
        <w:t>the following statement</w:t>
      </w:r>
      <w:r w:rsidR="00532215">
        <w:rPr>
          <w:rFonts w:ascii="Times New Roman" w:hAnsi="Times New Roman"/>
          <w:noProof w:val="0"/>
        </w:rPr>
        <w:t xml:space="preserve"> should be included</w:t>
      </w:r>
      <w:r w:rsidR="00200680">
        <w:rPr>
          <w:rFonts w:ascii="Times New Roman" w:hAnsi="Times New Roman"/>
          <w:noProof w:val="0"/>
        </w:rPr>
        <w:t xml:space="preserve"> in the Special Conditions:  “Overhead costs shall be waived.”  </w:t>
      </w:r>
    </w:p>
    <w:p w:rsidR="00680159" w:rsidRDefault="00C0334B" w:rsidP="00200680"/>
    <w:sectPr w:rsidR="00680159" w:rsidSect="001958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6C6F0B"/>
    <w:multiLevelType w:val="hybridMultilevel"/>
    <w:tmpl w:val="7A00C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00680"/>
    <w:rsid w:val="001742D3"/>
    <w:rsid w:val="001941CD"/>
    <w:rsid w:val="001958E5"/>
    <w:rsid w:val="00200680"/>
    <w:rsid w:val="004B148A"/>
    <w:rsid w:val="00532215"/>
    <w:rsid w:val="005C35CB"/>
    <w:rsid w:val="008D1BFC"/>
    <w:rsid w:val="00BF3B17"/>
    <w:rsid w:val="00C0334B"/>
    <w:rsid w:val="00C874D0"/>
    <w:rsid w:val="00D666D5"/>
    <w:rsid w:val="00D733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680"/>
    <w:pPr>
      <w:widowControl w:val="0"/>
      <w:autoSpaceDE w:val="0"/>
      <w:autoSpaceDN w:val="0"/>
      <w:adjustRightInd w:val="0"/>
    </w:pPr>
    <w:rPr>
      <w:rFonts w:ascii="Times" w:eastAsia="Times New Roman" w:hAnsi="Times" w:cs="Times New Roman"/>
      <w:noProof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Forest Service</Company>
  <LinksUpToDate>false</LinksUpToDate>
  <CharactersWithSpaces>2068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jgordon</dc:creator>
  <cp:keywords/>
  <dc:description/>
  <cp:lastModifiedBy>jgordon</cp:lastModifiedBy>
  <cp:revision>4</cp:revision>
  <dcterms:created xsi:type="dcterms:W3CDTF">2011-05-27T21:19:00Z</dcterms:created>
  <dcterms:modified xsi:type="dcterms:W3CDTF">2011-05-31T20:56:00Z</dcterms:modified>
</cp:coreProperties>
</file>