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5A222F" w14:textId="7EDE49ED" w:rsidR="006D3FD9" w:rsidRPr="006D3FD9" w:rsidRDefault="006D3FD9" w:rsidP="006D3FD9">
      <w:pPr>
        <w:pStyle w:val="Heading1"/>
        <w:jc w:val="center"/>
        <w:rPr>
          <w:rFonts w:ascii="Times New Roman" w:hAnsi="Times New Roman"/>
          <w:color w:val="FF0000"/>
        </w:rPr>
      </w:pPr>
      <w:r w:rsidRPr="006D3FD9">
        <w:rPr>
          <w:rFonts w:ascii="Times New Roman" w:hAnsi="Times New Roman"/>
          <w:color w:val="FF0000"/>
        </w:rPr>
        <w:t>BLM SAMPLE</w:t>
      </w:r>
    </w:p>
    <w:p w14:paraId="3272143E" w14:textId="650B13CA" w:rsidR="00E0348E" w:rsidRPr="006A68EF" w:rsidRDefault="00751C23" w:rsidP="006A68EF">
      <w:pPr>
        <w:pStyle w:val="Heading1"/>
        <w:rPr>
          <w:rFonts w:ascii="Times New Roman" w:hAnsi="Times New Roman"/>
        </w:rPr>
      </w:pPr>
      <w:r w:rsidRPr="00B847EC">
        <w:rPr>
          <w:rFonts w:ascii="Times New Roman" w:hAnsi="Times New Roman"/>
        </w:rPr>
        <w:t xml:space="preserve">LAND EXCHANGE FEASIBILITY ANALYSIS </w:t>
      </w:r>
      <w:bookmarkStart w:id="0" w:name="_GoBack"/>
      <w:bookmarkEnd w:id="0"/>
    </w:p>
    <w:p w14:paraId="248BCBF3" w14:textId="77777777" w:rsidR="008A52CE" w:rsidRDefault="008A52CE" w:rsidP="00326568">
      <w:pPr>
        <w:pStyle w:val="Style"/>
        <w:ind w:left="2059" w:right="1514"/>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3330"/>
        <w:gridCol w:w="3960"/>
      </w:tblGrid>
      <w:tr w:rsidR="00E0348E" w:rsidRPr="00490156" w14:paraId="32721445" w14:textId="77777777" w:rsidTr="00972C97">
        <w:trPr>
          <w:trHeight w:val="20"/>
        </w:trPr>
        <w:tc>
          <w:tcPr>
            <w:tcW w:w="1998" w:type="dxa"/>
            <w:shd w:val="clear" w:color="auto" w:fill="auto"/>
            <w:vAlign w:val="center"/>
          </w:tcPr>
          <w:p w14:paraId="32721440" w14:textId="1FD3B4DE" w:rsidR="00E0348E" w:rsidRPr="00490156" w:rsidRDefault="00E0348E" w:rsidP="00972C97">
            <w:pPr>
              <w:tabs>
                <w:tab w:val="left" w:pos="360"/>
              </w:tabs>
              <w:rPr>
                <w:rFonts w:eastAsia="Calibri"/>
              </w:rPr>
            </w:pPr>
            <w:r w:rsidRPr="00490156">
              <w:rPr>
                <w:rFonts w:eastAsia="Calibri"/>
              </w:rPr>
              <w:t>S</w:t>
            </w:r>
            <w:r w:rsidR="00972C97">
              <w:rPr>
                <w:rFonts w:eastAsia="Calibri"/>
              </w:rPr>
              <w:t>tate</w:t>
            </w:r>
            <w:r w:rsidRPr="00490156">
              <w:rPr>
                <w:rFonts w:eastAsia="Calibri"/>
              </w:rPr>
              <w:t>:  Oregon</w:t>
            </w:r>
          </w:p>
        </w:tc>
        <w:tc>
          <w:tcPr>
            <w:tcW w:w="3330" w:type="dxa"/>
            <w:shd w:val="clear" w:color="auto" w:fill="auto"/>
            <w:vAlign w:val="center"/>
          </w:tcPr>
          <w:p w14:paraId="14E4C236" w14:textId="77777777" w:rsidR="00972C97" w:rsidRDefault="00972C97" w:rsidP="00972C97">
            <w:pPr>
              <w:tabs>
                <w:tab w:val="left" w:pos="360"/>
              </w:tabs>
              <w:rPr>
                <w:rFonts w:eastAsia="Calibri"/>
              </w:rPr>
            </w:pPr>
          </w:p>
          <w:p w14:paraId="32721441" w14:textId="77777777" w:rsidR="00E0348E" w:rsidRPr="00490156" w:rsidRDefault="003B163A" w:rsidP="00972C97">
            <w:pPr>
              <w:tabs>
                <w:tab w:val="left" w:pos="360"/>
              </w:tabs>
              <w:rPr>
                <w:rFonts w:eastAsia="Calibri"/>
              </w:rPr>
            </w:pPr>
            <w:r>
              <w:rPr>
                <w:rFonts w:eastAsia="Calibri"/>
              </w:rPr>
              <w:t>Serial No.:  OR 65</w:t>
            </w:r>
            <w:r w:rsidR="00E0348E" w:rsidRPr="00490156">
              <w:rPr>
                <w:rFonts w:eastAsia="Calibri"/>
              </w:rPr>
              <w:t>9</w:t>
            </w:r>
            <w:r>
              <w:rPr>
                <w:rFonts w:eastAsia="Calibri"/>
              </w:rPr>
              <w:t>2</w:t>
            </w:r>
            <w:r w:rsidR="00E0348E" w:rsidRPr="00490156">
              <w:rPr>
                <w:rFonts w:eastAsia="Calibri"/>
              </w:rPr>
              <w:t>7 FD/PT</w:t>
            </w:r>
          </w:p>
          <w:p w14:paraId="32721442" w14:textId="62092BDE" w:rsidR="00E0348E" w:rsidRPr="00490156" w:rsidRDefault="00E0348E" w:rsidP="00972C97">
            <w:pPr>
              <w:tabs>
                <w:tab w:val="left" w:pos="360"/>
              </w:tabs>
              <w:rPr>
                <w:rFonts w:eastAsia="Calibri"/>
              </w:rPr>
            </w:pPr>
          </w:p>
        </w:tc>
        <w:tc>
          <w:tcPr>
            <w:tcW w:w="3960" w:type="dxa"/>
            <w:shd w:val="clear" w:color="auto" w:fill="auto"/>
            <w:vAlign w:val="center"/>
          </w:tcPr>
          <w:p w14:paraId="26FB4DF0" w14:textId="77777777" w:rsidR="00972C97" w:rsidRDefault="00972C97" w:rsidP="00972C97">
            <w:pPr>
              <w:tabs>
                <w:tab w:val="left" w:pos="360"/>
              </w:tabs>
              <w:rPr>
                <w:rFonts w:eastAsia="Calibri"/>
              </w:rPr>
            </w:pPr>
          </w:p>
          <w:p w14:paraId="32721443" w14:textId="77777777" w:rsidR="00E0348E" w:rsidRPr="00490156" w:rsidRDefault="00E0348E" w:rsidP="00972C97">
            <w:pPr>
              <w:tabs>
                <w:tab w:val="left" w:pos="360"/>
              </w:tabs>
              <w:rPr>
                <w:rFonts w:eastAsia="Calibri"/>
              </w:rPr>
            </w:pPr>
            <w:r w:rsidRPr="00490156">
              <w:rPr>
                <w:rFonts w:eastAsia="Calibri"/>
              </w:rPr>
              <w:t xml:space="preserve">Name:  </w:t>
            </w:r>
            <w:proofErr w:type="spellStart"/>
            <w:r w:rsidRPr="00490156">
              <w:rPr>
                <w:rFonts w:eastAsia="Calibri"/>
              </w:rPr>
              <w:t>McGreer</w:t>
            </w:r>
            <w:proofErr w:type="spellEnd"/>
            <w:r w:rsidRPr="00490156">
              <w:rPr>
                <w:rFonts w:eastAsia="Calibri"/>
              </w:rPr>
              <w:t xml:space="preserve"> Land Exchange</w:t>
            </w:r>
          </w:p>
          <w:p w14:paraId="32721444" w14:textId="5CD64A61" w:rsidR="00E0348E" w:rsidRPr="00490156" w:rsidRDefault="00E0348E" w:rsidP="00972C97">
            <w:pPr>
              <w:tabs>
                <w:tab w:val="left" w:pos="360"/>
              </w:tabs>
              <w:rPr>
                <w:rFonts w:eastAsia="Calibri"/>
              </w:rPr>
            </w:pPr>
          </w:p>
        </w:tc>
      </w:tr>
    </w:tbl>
    <w:p w14:paraId="32721446" w14:textId="77777777" w:rsidR="00846080" w:rsidRPr="00490156" w:rsidRDefault="00846080" w:rsidP="00846080">
      <w:pPr>
        <w:tabs>
          <w:tab w:val="left" w:pos="360"/>
        </w:tabs>
        <w:rPr>
          <w:rFonts w:eastAsia="Calibr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78"/>
        <w:gridCol w:w="4410"/>
      </w:tblGrid>
      <w:tr w:rsidR="00846080" w:rsidRPr="00490156" w14:paraId="3272144B" w14:textId="77777777" w:rsidTr="00161C40">
        <w:tc>
          <w:tcPr>
            <w:tcW w:w="4878" w:type="dxa"/>
            <w:shd w:val="clear" w:color="auto" w:fill="auto"/>
          </w:tcPr>
          <w:p w14:paraId="32721447" w14:textId="465ADD7B" w:rsidR="00161C40" w:rsidRDefault="004420E1" w:rsidP="00846080">
            <w:pPr>
              <w:tabs>
                <w:tab w:val="left" w:pos="360"/>
              </w:tabs>
              <w:rPr>
                <w:rFonts w:eastAsia="Calibri"/>
              </w:rPr>
            </w:pPr>
            <w:r>
              <w:rPr>
                <w:rFonts w:eastAsia="Calibri"/>
              </w:rPr>
              <w:t>BLM</w:t>
            </w:r>
            <w:r w:rsidR="00846080" w:rsidRPr="00490156">
              <w:rPr>
                <w:rFonts w:eastAsia="Calibri"/>
              </w:rPr>
              <w:t xml:space="preserve"> Office</w:t>
            </w:r>
            <w:r w:rsidR="00161C40">
              <w:rPr>
                <w:rFonts w:eastAsia="Calibri"/>
              </w:rPr>
              <w:t>:</w:t>
            </w:r>
          </w:p>
          <w:p w14:paraId="32721448" w14:textId="77777777" w:rsidR="00846080" w:rsidRPr="00490156" w:rsidRDefault="00846080" w:rsidP="00846080">
            <w:pPr>
              <w:tabs>
                <w:tab w:val="left" w:pos="360"/>
              </w:tabs>
              <w:rPr>
                <w:rFonts w:eastAsia="Calibri"/>
              </w:rPr>
            </w:pPr>
            <w:r w:rsidRPr="00490156">
              <w:rPr>
                <w:rFonts w:eastAsia="Calibri"/>
              </w:rPr>
              <w:t>County:</w:t>
            </w:r>
          </w:p>
        </w:tc>
        <w:tc>
          <w:tcPr>
            <w:tcW w:w="4410" w:type="dxa"/>
            <w:shd w:val="clear" w:color="auto" w:fill="auto"/>
          </w:tcPr>
          <w:p w14:paraId="32721449" w14:textId="77777777" w:rsidR="00846080" w:rsidRPr="00490156" w:rsidRDefault="00846080" w:rsidP="00846080">
            <w:pPr>
              <w:tabs>
                <w:tab w:val="left" w:pos="360"/>
              </w:tabs>
              <w:rPr>
                <w:rFonts w:eastAsia="Calibri"/>
              </w:rPr>
            </w:pPr>
            <w:r w:rsidRPr="00490156">
              <w:rPr>
                <w:rFonts w:eastAsia="Calibri"/>
              </w:rPr>
              <w:t>Prineville District</w:t>
            </w:r>
          </w:p>
          <w:p w14:paraId="3272144A" w14:textId="77777777" w:rsidR="00846080" w:rsidRPr="00490156" w:rsidRDefault="00846080" w:rsidP="00846080">
            <w:pPr>
              <w:tabs>
                <w:tab w:val="left" w:pos="360"/>
              </w:tabs>
              <w:rPr>
                <w:rFonts w:eastAsia="Calibri"/>
              </w:rPr>
            </w:pPr>
            <w:r w:rsidRPr="00490156">
              <w:rPr>
                <w:rFonts w:eastAsia="Calibri"/>
              </w:rPr>
              <w:t>Wasco and Wheeler Counties, Oregon</w:t>
            </w:r>
          </w:p>
        </w:tc>
      </w:tr>
      <w:tr w:rsidR="00846080" w:rsidRPr="00490156" w14:paraId="3272144E" w14:textId="77777777" w:rsidTr="00161C40">
        <w:tc>
          <w:tcPr>
            <w:tcW w:w="4878" w:type="dxa"/>
            <w:shd w:val="clear" w:color="auto" w:fill="auto"/>
          </w:tcPr>
          <w:p w14:paraId="3272144C" w14:textId="77777777" w:rsidR="00846080" w:rsidRPr="00490156" w:rsidRDefault="00846080" w:rsidP="00846080">
            <w:pPr>
              <w:tabs>
                <w:tab w:val="left" w:pos="360"/>
              </w:tabs>
              <w:rPr>
                <w:rFonts w:eastAsia="Calibri"/>
              </w:rPr>
            </w:pPr>
            <w:r w:rsidRPr="00490156">
              <w:rPr>
                <w:rFonts w:eastAsia="Calibri"/>
              </w:rPr>
              <w:t>Federal Acreage proposed for exchange:</w:t>
            </w:r>
          </w:p>
        </w:tc>
        <w:tc>
          <w:tcPr>
            <w:tcW w:w="4410" w:type="dxa"/>
            <w:shd w:val="clear" w:color="auto" w:fill="auto"/>
          </w:tcPr>
          <w:p w14:paraId="3272144D" w14:textId="77777777" w:rsidR="003F4DE6" w:rsidRPr="00490156" w:rsidRDefault="003F4DE6" w:rsidP="003F4DE6">
            <w:pPr>
              <w:tabs>
                <w:tab w:val="left" w:pos="360"/>
              </w:tabs>
              <w:rPr>
                <w:rFonts w:eastAsia="Calibri"/>
              </w:rPr>
            </w:pPr>
            <w:r w:rsidRPr="00490156">
              <w:rPr>
                <w:rFonts w:eastAsia="Calibri"/>
              </w:rPr>
              <w:t>344.31</w:t>
            </w:r>
            <w:r w:rsidR="002078AE" w:rsidRPr="00490156">
              <w:rPr>
                <w:rFonts w:eastAsia="Calibri"/>
              </w:rPr>
              <w:t xml:space="preserve"> acres</w:t>
            </w:r>
          </w:p>
        </w:tc>
      </w:tr>
      <w:tr w:rsidR="00846080" w:rsidRPr="00490156" w14:paraId="32721453" w14:textId="77777777" w:rsidTr="00161C40">
        <w:tc>
          <w:tcPr>
            <w:tcW w:w="4878" w:type="dxa"/>
            <w:shd w:val="clear" w:color="auto" w:fill="auto"/>
          </w:tcPr>
          <w:p w14:paraId="32721450" w14:textId="4CD1B46E" w:rsidR="00161C40" w:rsidRPr="00490156" w:rsidRDefault="00846080" w:rsidP="00161C40">
            <w:pPr>
              <w:tabs>
                <w:tab w:val="left" w:pos="360"/>
              </w:tabs>
              <w:rPr>
                <w:rFonts w:eastAsia="Calibri"/>
              </w:rPr>
            </w:pPr>
            <w:r w:rsidRPr="00490156">
              <w:rPr>
                <w:rFonts w:eastAsia="Calibri"/>
              </w:rPr>
              <w:t>Non-Federal Acreage proposed for exchange:</w:t>
            </w:r>
          </w:p>
        </w:tc>
        <w:tc>
          <w:tcPr>
            <w:tcW w:w="4410" w:type="dxa"/>
            <w:shd w:val="clear" w:color="auto" w:fill="auto"/>
          </w:tcPr>
          <w:p w14:paraId="32721452" w14:textId="2403C4BE" w:rsidR="00161C40" w:rsidRPr="00490156" w:rsidRDefault="00161C40" w:rsidP="00161C40">
            <w:pPr>
              <w:tabs>
                <w:tab w:val="left" w:pos="360"/>
              </w:tabs>
              <w:rPr>
                <w:rFonts w:eastAsia="Calibri"/>
              </w:rPr>
            </w:pPr>
            <w:r>
              <w:rPr>
                <w:rFonts w:eastAsia="Calibri"/>
              </w:rPr>
              <w:t>15</w:t>
            </w:r>
            <w:r w:rsidR="003F4DE6" w:rsidRPr="00490156">
              <w:rPr>
                <w:rFonts w:eastAsia="Calibri"/>
              </w:rPr>
              <w:t>.</w:t>
            </w:r>
            <w:r w:rsidR="00223CE8" w:rsidRPr="00490156">
              <w:rPr>
                <w:rFonts w:eastAsia="Calibri"/>
              </w:rPr>
              <w:t>4</w:t>
            </w:r>
            <w:r>
              <w:rPr>
                <w:rFonts w:eastAsia="Calibri"/>
              </w:rPr>
              <w:t>3</w:t>
            </w:r>
            <w:r w:rsidR="002078AE" w:rsidRPr="00490156">
              <w:rPr>
                <w:rFonts w:eastAsia="Calibri"/>
              </w:rPr>
              <w:t xml:space="preserve"> </w:t>
            </w:r>
            <w:r w:rsidR="00846080" w:rsidRPr="00490156">
              <w:rPr>
                <w:rFonts w:eastAsia="Calibri"/>
              </w:rPr>
              <w:t>acres</w:t>
            </w:r>
          </w:p>
        </w:tc>
      </w:tr>
    </w:tbl>
    <w:p w14:paraId="6B443E0C" w14:textId="77777777" w:rsidR="006447C1" w:rsidRDefault="006447C1" w:rsidP="008A52CE">
      <w:pPr>
        <w:pStyle w:val="Style"/>
        <w:ind w:left="2059" w:right="1514"/>
        <w:jc w:val="center"/>
        <w:rPr>
          <w:w w:val="106"/>
        </w:rPr>
      </w:pPr>
    </w:p>
    <w:p w14:paraId="32721455" w14:textId="77777777" w:rsidR="00751C23" w:rsidRPr="00D12C60" w:rsidRDefault="0025013E" w:rsidP="008A52CE">
      <w:pPr>
        <w:pStyle w:val="Style"/>
        <w:rPr>
          <w:b/>
        </w:rPr>
      </w:pPr>
      <w:r w:rsidRPr="00D12C60">
        <w:rPr>
          <w:b/>
        </w:rPr>
        <w:t>1.0</w:t>
      </w:r>
      <w:r w:rsidRPr="00D12C60">
        <w:rPr>
          <w:b/>
        </w:rPr>
        <w:tab/>
      </w:r>
      <w:r w:rsidR="003C4953" w:rsidRPr="00D12C60">
        <w:rPr>
          <w:b/>
        </w:rPr>
        <w:t>BACKGROUND</w:t>
      </w:r>
    </w:p>
    <w:p w14:paraId="3A9CB2E5" w14:textId="77777777" w:rsidR="008A52CE" w:rsidRDefault="008A52CE" w:rsidP="008A52CE">
      <w:pPr>
        <w:pStyle w:val="NormalWeb"/>
        <w:spacing w:before="0" w:beforeAutospacing="0" w:after="0" w:afterAutospacing="0"/>
      </w:pPr>
    </w:p>
    <w:p w14:paraId="32721456" w14:textId="0D80EEF8" w:rsidR="0078622E" w:rsidRDefault="00462BF5" w:rsidP="008A52CE">
      <w:pPr>
        <w:pStyle w:val="NormalWeb"/>
        <w:spacing w:before="0" w:beforeAutospacing="0" w:after="0" w:afterAutospacing="0"/>
      </w:pPr>
      <w:r>
        <w:t xml:space="preserve">Congress recognized the rugged beauty of the John Day River in central Oregon by designating it as a </w:t>
      </w:r>
      <w:r w:rsidR="008A52CE">
        <w:t>W</w:t>
      </w:r>
      <w:r>
        <w:t xml:space="preserve">ild and </w:t>
      </w:r>
      <w:r w:rsidR="008A52CE">
        <w:t>S</w:t>
      </w:r>
      <w:r>
        <w:t xml:space="preserve">cenic </w:t>
      </w:r>
      <w:r w:rsidR="008A52CE">
        <w:t>R</w:t>
      </w:r>
      <w:r>
        <w:t xml:space="preserve">iver </w:t>
      </w:r>
      <w:r w:rsidR="008A52CE">
        <w:t xml:space="preserve">(WSR) </w:t>
      </w:r>
      <w:r>
        <w:t xml:space="preserve">in 1988 (Public Law 100-557).  </w:t>
      </w:r>
      <w:r w:rsidR="0025013E">
        <w:t xml:space="preserve">Twenty-one years later, </w:t>
      </w:r>
      <w:r>
        <w:t>President Barack Obama signed into law the Omnibus Public Land Management Act of 2009</w:t>
      </w:r>
      <w:r w:rsidR="009D0799">
        <w:t xml:space="preserve"> (</w:t>
      </w:r>
      <w:r w:rsidR="008E395C">
        <w:t xml:space="preserve">the </w:t>
      </w:r>
      <w:r w:rsidR="006447C1">
        <w:t xml:space="preserve">Omnibus </w:t>
      </w:r>
      <w:r w:rsidR="00022542">
        <w:t>Ac</w:t>
      </w:r>
      <w:r w:rsidR="009D0799">
        <w:t>t)</w:t>
      </w:r>
      <w:r w:rsidR="008A52CE">
        <w:t>,</w:t>
      </w:r>
      <w:r w:rsidR="008A52CE" w:rsidRPr="008A52CE">
        <w:t xml:space="preserve"> </w:t>
      </w:r>
      <w:r w:rsidR="008A52CE">
        <w:t>Public Law 111-11</w:t>
      </w:r>
      <w:r>
        <w:t xml:space="preserve">.  Title I, Subtitle J, of </w:t>
      </w:r>
      <w:r w:rsidR="006447C1">
        <w:t>the Omnibus Act</w:t>
      </w:r>
      <w:r>
        <w:t xml:space="preserve"> provide</w:t>
      </w:r>
      <w:r w:rsidR="00846080">
        <w:t>s</w:t>
      </w:r>
      <w:r>
        <w:t xml:space="preserve"> for </w:t>
      </w:r>
      <w:r w:rsidR="008E395C">
        <w:t xml:space="preserve">various </w:t>
      </w:r>
      <w:r>
        <w:t>land exchanges and the designation of the Spring Basin Wilderness</w:t>
      </w:r>
      <w:r w:rsidR="00D1587B">
        <w:t xml:space="preserve"> Area (SBWA)</w:t>
      </w:r>
      <w:r>
        <w:t xml:space="preserve"> in Wheeler County along the east bank of the middle </w:t>
      </w:r>
      <w:r w:rsidR="00F102AB">
        <w:t xml:space="preserve">segment </w:t>
      </w:r>
      <w:r>
        <w:t xml:space="preserve">of the John Day </w:t>
      </w:r>
      <w:r w:rsidR="00E900A6">
        <w:t xml:space="preserve">National </w:t>
      </w:r>
      <w:r w:rsidR="00FF777E">
        <w:t>WSR</w:t>
      </w:r>
      <w:r w:rsidR="00161C40">
        <w:t xml:space="preserve"> located</w:t>
      </w:r>
      <w:r w:rsidR="00FF777E">
        <w:t xml:space="preserve"> </w:t>
      </w:r>
      <w:r w:rsidR="0047786A" w:rsidRPr="0047786A">
        <w:t xml:space="preserve">in the </w:t>
      </w:r>
      <w:r w:rsidR="0025013E">
        <w:t xml:space="preserve">Bureau of Land Management’s </w:t>
      </w:r>
      <w:r w:rsidR="00870E87">
        <w:t xml:space="preserve">(BLM) </w:t>
      </w:r>
      <w:r w:rsidR="0047786A" w:rsidRPr="0047786A">
        <w:t>Prineville District</w:t>
      </w:r>
      <w:r w:rsidR="0025013E">
        <w:t>, Oregon</w:t>
      </w:r>
      <w:r w:rsidR="0047786A" w:rsidRPr="0047786A">
        <w:t xml:space="preserve">. </w:t>
      </w:r>
      <w:r w:rsidR="0078622E" w:rsidRPr="00377156">
        <w:t xml:space="preserve"> </w:t>
      </w:r>
    </w:p>
    <w:p w14:paraId="71EBACD5" w14:textId="77777777" w:rsidR="008A52CE" w:rsidRDefault="008A52CE" w:rsidP="00462BF5"/>
    <w:p w14:paraId="32721457" w14:textId="1EEB5BC9" w:rsidR="00462BF5" w:rsidRDefault="00027348" w:rsidP="00462BF5">
      <w:r w:rsidRPr="00027348">
        <w:t xml:space="preserve">Subtitle J, Section 1754(b) of </w:t>
      </w:r>
      <w:r w:rsidR="006447C1">
        <w:t>the Omnibus Act</w:t>
      </w:r>
      <w:r>
        <w:t xml:space="preserve"> provides for the </w:t>
      </w:r>
      <w:proofErr w:type="spellStart"/>
      <w:r>
        <w:t>McGreer</w:t>
      </w:r>
      <w:proofErr w:type="spellEnd"/>
      <w:r w:rsidRPr="00027348">
        <w:t xml:space="preserve"> land exchange</w:t>
      </w:r>
      <w:r>
        <w:t xml:space="preserve">, </w:t>
      </w:r>
      <w:r w:rsidR="009D0799">
        <w:t>one of</w:t>
      </w:r>
      <w:r w:rsidR="0047786A" w:rsidRPr="0047786A">
        <w:t xml:space="preserve"> </w:t>
      </w:r>
      <w:r w:rsidR="00462BF5">
        <w:t>four</w:t>
      </w:r>
      <w:r w:rsidR="0047786A" w:rsidRPr="0047786A">
        <w:t xml:space="preserve"> separate exchanges </w:t>
      </w:r>
      <w:r>
        <w:t>authorized</w:t>
      </w:r>
      <w:r w:rsidR="00530D9C">
        <w:t xml:space="preserve"> by this law</w:t>
      </w:r>
      <w:r w:rsidR="0047786A" w:rsidRPr="0047786A">
        <w:t xml:space="preserve">.  </w:t>
      </w:r>
      <w:r w:rsidR="006447C1">
        <w:t>The Omnibus Act</w:t>
      </w:r>
      <w:r w:rsidR="0047786A" w:rsidRPr="0047786A">
        <w:t xml:space="preserve"> </w:t>
      </w:r>
      <w:r w:rsidR="00ED437F">
        <w:t xml:space="preserve">authorizes and directs </w:t>
      </w:r>
      <w:r w:rsidR="0047786A" w:rsidRPr="0047786A">
        <w:t xml:space="preserve">the BLM to complete </w:t>
      </w:r>
      <w:r w:rsidRPr="0047786A">
        <w:t>the</w:t>
      </w:r>
      <w:r>
        <w:t xml:space="preserve"> </w:t>
      </w:r>
      <w:proofErr w:type="spellStart"/>
      <w:r>
        <w:t>McGreer</w:t>
      </w:r>
      <w:proofErr w:type="spellEnd"/>
      <w:r>
        <w:t xml:space="preserve"> </w:t>
      </w:r>
      <w:r w:rsidR="0047786A" w:rsidRPr="0047786A">
        <w:t>land exchange</w:t>
      </w:r>
      <w:r w:rsidR="00462BF5">
        <w:t xml:space="preserve"> </w:t>
      </w:r>
      <w:r w:rsidR="008E395C">
        <w:t xml:space="preserve">if certain conditions </w:t>
      </w:r>
      <w:proofErr w:type="gramStart"/>
      <w:r w:rsidR="008E395C">
        <w:t>are met</w:t>
      </w:r>
      <w:proofErr w:type="gramEnd"/>
      <w:r w:rsidR="008E395C">
        <w:t xml:space="preserve"> and requires</w:t>
      </w:r>
      <w:r w:rsidR="003E2B79">
        <w:t xml:space="preserve"> that</w:t>
      </w:r>
      <w:r w:rsidR="008E395C">
        <w:t xml:space="preserve">, except for certain exceptions set out in </w:t>
      </w:r>
      <w:r w:rsidR="006447C1">
        <w:t>the Omnibus Act</w:t>
      </w:r>
      <w:r w:rsidR="008E395C">
        <w:t xml:space="preserve">, the exchange be carried out </w:t>
      </w:r>
      <w:r w:rsidR="0047786A" w:rsidRPr="0047786A">
        <w:t xml:space="preserve">pursuant to </w:t>
      </w:r>
      <w:r w:rsidR="008A52CE">
        <w:t>S</w:t>
      </w:r>
      <w:r w:rsidR="0047786A" w:rsidRPr="0047786A">
        <w:t>ection 206 of the Federal Land Policy and Management Act</w:t>
      </w:r>
      <w:r w:rsidR="009D0799">
        <w:t xml:space="preserve"> (FLPMA)</w:t>
      </w:r>
      <w:r w:rsidR="0047786A" w:rsidRPr="0047786A">
        <w:t xml:space="preserve">.  </w:t>
      </w:r>
    </w:p>
    <w:p w14:paraId="32721458" w14:textId="77777777" w:rsidR="00C17C6E" w:rsidRDefault="00C17C6E" w:rsidP="00462BF5"/>
    <w:p w14:paraId="32721459" w14:textId="77777777" w:rsidR="00C17C6E" w:rsidRDefault="00C17C6E" w:rsidP="00462BF5">
      <w:proofErr w:type="gramStart"/>
      <w:r>
        <w:t>SEC 1754.</w:t>
      </w:r>
      <w:proofErr w:type="gramEnd"/>
      <w:r>
        <w:t xml:space="preserve"> LAND EXCHANGES.</w:t>
      </w:r>
    </w:p>
    <w:p w14:paraId="3272145A" w14:textId="77777777" w:rsidR="00C17C6E" w:rsidRPr="00C17C6E" w:rsidRDefault="00C17C6E" w:rsidP="00C17C6E">
      <w:pPr>
        <w:autoSpaceDE w:val="0"/>
        <w:autoSpaceDN w:val="0"/>
        <w:adjustRightInd w:val="0"/>
        <w:ind w:firstLine="720"/>
        <w:rPr>
          <w:color w:val="000000"/>
        </w:rPr>
      </w:pPr>
      <w:r w:rsidRPr="00C17C6E">
        <w:rPr>
          <w:color w:val="000000"/>
        </w:rPr>
        <w:t xml:space="preserve">(b) MCGREER LAND </w:t>
      </w:r>
      <w:proofErr w:type="gramStart"/>
      <w:r w:rsidRPr="00C17C6E">
        <w:rPr>
          <w:color w:val="000000"/>
        </w:rPr>
        <w:t>EXCHANGE.</w:t>
      </w:r>
      <w:proofErr w:type="gramEnd"/>
      <w:r w:rsidRPr="00C17C6E">
        <w:rPr>
          <w:color w:val="000000"/>
        </w:rPr>
        <w:t>—</w:t>
      </w:r>
    </w:p>
    <w:p w14:paraId="3272145B" w14:textId="77777777" w:rsidR="00C17C6E" w:rsidRPr="00C17C6E" w:rsidRDefault="00C17C6E" w:rsidP="00C17C6E">
      <w:pPr>
        <w:autoSpaceDE w:val="0"/>
        <w:autoSpaceDN w:val="0"/>
        <w:adjustRightInd w:val="0"/>
        <w:ind w:left="1440"/>
        <w:rPr>
          <w:color w:val="000000"/>
        </w:rPr>
      </w:pPr>
      <w:r w:rsidRPr="00C17C6E">
        <w:rPr>
          <w:color w:val="000000"/>
        </w:rPr>
        <w:t>(1) CONVEYANCE OF LAND.—Subject to subsections (e)</w:t>
      </w:r>
      <w:r>
        <w:rPr>
          <w:color w:val="000000"/>
        </w:rPr>
        <w:t xml:space="preserve"> </w:t>
      </w:r>
      <w:r w:rsidRPr="00C17C6E">
        <w:rPr>
          <w:color w:val="000000"/>
        </w:rPr>
        <w:t>through (g), if the landowner offers to convey to the United</w:t>
      </w:r>
      <w:r>
        <w:rPr>
          <w:color w:val="000000"/>
        </w:rPr>
        <w:t xml:space="preserve"> </w:t>
      </w:r>
      <w:r w:rsidRPr="00C17C6E">
        <w:rPr>
          <w:color w:val="000000"/>
        </w:rPr>
        <w:t>States all right, title, and interest of the landowner in and</w:t>
      </w:r>
      <w:r>
        <w:rPr>
          <w:color w:val="000000"/>
        </w:rPr>
        <w:t xml:space="preserve"> </w:t>
      </w:r>
      <w:r w:rsidRPr="00C17C6E">
        <w:rPr>
          <w:color w:val="000000"/>
        </w:rPr>
        <w:t>to the non-Federal land described in paragraph (2)(A), the</w:t>
      </w:r>
    </w:p>
    <w:p w14:paraId="3272145C" w14:textId="77777777" w:rsidR="00C17C6E" w:rsidRPr="00C17C6E" w:rsidRDefault="00C17C6E" w:rsidP="00C17C6E">
      <w:pPr>
        <w:autoSpaceDE w:val="0"/>
        <w:autoSpaceDN w:val="0"/>
        <w:adjustRightInd w:val="0"/>
        <w:ind w:left="720" w:firstLine="720"/>
        <w:rPr>
          <w:color w:val="000000"/>
        </w:rPr>
      </w:pPr>
      <w:r w:rsidRPr="00C17C6E">
        <w:rPr>
          <w:color w:val="000000"/>
        </w:rPr>
        <w:t>Secretary shall—</w:t>
      </w:r>
    </w:p>
    <w:p w14:paraId="3272145D" w14:textId="77777777" w:rsidR="00C17C6E" w:rsidRPr="00C17C6E" w:rsidRDefault="00C17C6E" w:rsidP="00C17C6E">
      <w:pPr>
        <w:autoSpaceDE w:val="0"/>
        <w:autoSpaceDN w:val="0"/>
        <w:adjustRightInd w:val="0"/>
        <w:ind w:left="1440" w:firstLine="720"/>
        <w:rPr>
          <w:color w:val="000000"/>
        </w:rPr>
      </w:pPr>
      <w:r w:rsidRPr="00C17C6E">
        <w:rPr>
          <w:color w:val="000000"/>
        </w:rPr>
        <w:t xml:space="preserve">(A) </w:t>
      </w:r>
      <w:proofErr w:type="gramStart"/>
      <w:r w:rsidRPr="00C17C6E">
        <w:rPr>
          <w:color w:val="000000"/>
        </w:rPr>
        <w:t>accept</w:t>
      </w:r>
      <w:proofErr w:type="gramEnd"/>
      <w:r w:rsidRPr="00C17C6E">
        <w:rPr>
          <w:color w:val="000000"/>
        </w:rPr>
        <w:t xml:space="preserve"> the offer; and</w:t>
      </w:r>
    </w:p>
    <w:p w14:paraId="3272145E" w14:textId="77777777" w:rsidR="00C17C6E" w:rsidRPr="00C17C6E" w:rsidRDefault="00C17C6E" w:rsidP="00C17C6E">
      <w:pPr>
        <w:autoSpaceDE w:val="0"/>
        <w:autoSpaceDN w:val="0"/>
        <w:adjustRightInd w:val="0"/>
        <w:ind w:left="2160"/>
        <w:rPr>
          <w:color w:val="000000"/>
        </w:rPr>
      </w:pPr>
      <w:r w:rsidRPr="00C17C6E">
        <w:rPr>
          <w:color w:val="000000"/>
        </w:rPr>
        <w:t>(B) on receipt of acceptable title to the non-Federal</w:t>
      </w:r>
      <w:r>
        <w:rPr>
          <w:color w:val="000000"/>
        </w:rPr>
        <w:t xml:space="preserve"> </w:t>
      </w:r>
      <w:r w:rsidRPr="00C17C6E">
        <w:rPr>
          <w:color w:val="000000"/>
        </w:rPr>
        <w:t>land, convey to the landowner all right, title, and interest</w:t>
      </w:r>
      <w:r>
        <w:rPr>
          <w:color w:val="000000"/>
        </w:rPr>
        <w:t xml:space="preserve"> </w:t>
      </w:r>
      <w:r w:rsidRPr="00C17C6E">
        <w:rPr>
          <w:color w:val="000000"/>
        </w:rPr>
        <w:t>of the United States in and to the Federal land described</w:t>
      </w:r>
      <w:r>
        <w:rPr>
          <w:color w:val="000000"/>
        </w:rPr>
        <w:t xml:space="preserve"> </w:t>
      </w:r>
      <w:r w:rsidRPr="00C17C6E">
        <w:rPr>
          <w:color w:val="000000"/>
        </w:rPr>
        <w:t>in paragraph (2</w:t>
      </w:r>
      <w:proofErr w:type="gramStart"/>
      <w:r w:rsidRPr="00C17C6E">
        <w:rPr>
          <w:color w:val="000000"/>
        </w:rPr>
        <w:t>)(</w:t>
      </w:r>
      <w:proofErr w:type="gramEnd"/>
      <w:r w:rsidRPr="00C17C6E">
        <w:rPr>
          <w:color w:val="000000"/>
        </w:rPr>
        <w:t>B).</w:t>
      </w:r>
    </w:p>
    <w:p w14:paraId="3272145F" w14:textId="77777777" w:rsidR="00C17C6E" w:rsidRPr="00C17C6E" w:rsidRDefault="00C17C6E" w:rsidP="00C17C6E">
      <w:pPr>
        <w:autoSpaceDE w:val="0"/>
        <w:autoSpaceDN w:val="0"/>
        <w:adjustRightInd w:val="0"/>
        <w:ind w:left="720" w:firstLine="720"/>
        <w:rPr>
          <w:color w:val="000000"/>
        </w:rPr>
      </w:pPr>
      <w:proofErr w:type="gramStart"/>
      <w:r w:rsidRPr="00C17C6E">
        <w:rPr>
          <w:color w:val="000000"/>
        </w:rPr>
        <w:t>(2) DESCRIPTION OF LAND.—</w:t>
      </w:r>
      <w:proofErr w:type="gramEnd"/>
    </w:p>
    <w:p w14:paraId="32721460" w14:textId="6F3BA29B" w:rsidR="00C17C6E" w:rsidRPr="00C17C6E" w:rsidRDefault="00C17C6E" w:rsidP="001708DC">
      <w:pPr>
        <w:autoSpaceDE w:val="0"/>
        <w:autoSpaceDN w:val="0"/>
        <w:adjustRightInd w:val="0"/>
        <w:ind w:left="2160"/>
        <w:rPr>
          <w:color w:val="000000"/>
        </w:rPr>
      </w:pPr>
      <w:r w:rsidRPr="00C17C6E">
        <w:rPr>
          <w:color w:val="000000"/>
        </w:rPr>
        <w:t>(A) NON-FEDERAL LAND.—</w:t>
      </w:r>
      <w:proofErr w:type="gramStart"/>
      <w:r w:rsidRPr="00C17C6E">
        <w:rPr>
          <w:color w:val="000000"/>
        </w:rPr>
        <w:t>The</w:t>
      </w:r>
      <w:proofErr w:type="gramEnd"/>
      <w:r w:rsidRPr="00C17C6E">
        <w:rPr>
          <w:color w:val="000000"/>
        </w:rPr>
        <w:t xml:space="preserve"> non-Federal land</w:t>
      </w:r>
      <w:r>
        <w:rPr>
          <w:color w:val="000000"/>
        </w:rPr>
        <w:t xml:space="preserve"> </w:t>
      </w:r>
      <w:r w:rsidR="001708DC">
        <w:rPr>
          <w:color w:val="000000"/>
        </w:rPr>
        <w:t xml:space="preserve">referred to in </w:t>
      </w:r>
      <w:r w:rsidRPr="00C17C6E">
        <w:rPr>
          <w:color w:val="000000"/>
        </w:rPr>
        <w:t>paragraph (1) is the approximately 18 acres</w:t>
      </w:r>
      <w:r w:rsidR="001708DC">
        <w:rPr>
          <w:color w:val="000000"/>
        </w:rPr>
        <w:t xml:space="preserve"> </w:t>
      </w:r>
      <w:r w:rsidRPr="00C17C6E">
        <w:rPr>
          <w:color w:val="000000"/>
        </w:rPr>
        <w:t>of non-Federal land identified on the wilderness map as</w:t>
      </w:r>
      <w:r w:rsidR="001708DC">
        <w:rPr>
          <w:color w:val="000000"/>
        </w:rPr>
        <w:t xml:space="preserve"> </w:t>
      </w:r>
      <w:r w:rsidRPr="00C17C6E">
        <w:rPr>
          <w:color w:val="000000"/>
        </w:rPr>
        <w:t xml:space="preserve">‘‘Lands proposed for transfer from </w:t>
      </w:r>
      <w:proofErr w:type="spellStart"/>
      <w:r w:rsidRPr="00C17C6E">
        <w:rPr>
          <w:color w:val="000000"/>
        </w:rPr>
        <w:t>McGreer</w:t>
      </w:r>
      <w:proofErr w:type="spellEnd"/>
      <w:r w:rsidRPr="00C17C6E">
        <w:rPr>
          <w:color w:val="000000"/>
        </w:rPr>
        <w:t xml:space="preserve"> to the Federal</w:t>
      </w:r>
      <w:r w:rsidR="001708DC">
        <w:rPr>
          <w:color w:val="000000"/>
        </w:rPr>
        <w:t xml:space="preserve"> </w:t>
      </w:r>
      <w:r w:rsidR="00530D9C">
        <w:rPr>
          <w:color w:val="000000"/>
        </w:rPr>
        <w:t>Government.’’</w:t>
      </w:r>
    </w:p>
    <w:p w14:paraId="7976860F" w14:textId="77777777" w:rsidR="006447C1" w:rsidRDefault="006447C1">
      <w:pPr>
        <w:rPr>
          <w:color w:val="000000"/>
        </w:rPr>
      </w:pPr>
      <w:r>
        <w:rPr>
          <w:color w:val="000000"/>
        </w:rPr>
        <w:br w:type="page"/>
      </w:r>
    </w:p>
    <w:p w14:paraId="32721461" w14:textId="340D3351" w:rsidR="00C17C6E" w:rsidRPr="00C17C6E" w:rsidRDefault="00C17C6E" w:rsidP="002678A3">
      <w:pPr>
        <w:autoSpaceDE w:val="0"/>
        <w:autoSpaceDN w:val="0"/>
        <w:adjustRightInd w:val="0"/>
        <w:ind w:left="720"/>
        <w:rPr>
          <w:color w:val="000000"/>
        </w:rPr>
      </w:pPr>
      <w:r w:rsidRPr="00C17C6E">
        <w:rPr>
          <w:color w:val="000000"/>
        </w:rPr>
        <w:lastRenderedPageBreak/>
        <w:t>(B) FEDERAL LAND.—The Federal land referred to in</w:t>
      </w:r>
      <w:r w:rsidR="001708DC">
        <w:rPr>
          <w:color w:val="000000"/>
        </w:rPr>
        <w:t xml:space="preserve"> </w:t>
      </w:r>
      <w:r w:rsidRPr="00C17C6E">
        <w:rPr>
          <w:color w:val="000000"/>
        </w:rPr>
        <w:t>paragraph (1)(B) is the approximately 327 acres of Federal</w:t>
      </w:r>
      <w:r w:rsidR="001708DC">
        <w:rPr>
          <w:color w:val="000000"/>
        </w:rPr>
        <w:t xml:space="preserve"> </w:t>
      </w:r>
      <w:r w:rsidRPr="00C17C6E">
        <w:rPr>
          <w:color w:val="000000"/>
        </w:rPr>
        <w:t>land identified on the wilderness map as ‘‘Lands proposed</w:t>
      </w:r>
      <w:r w:rsidR="001708DC">
        <w:rPr>
          <w:color w:val="000000"/>
        </w:rPr>
        <w:t xml:space="preserve"> </w:t>
      </w:r>
      <w:r w:rsidRPr="00C17C6E">
        <w:rPr>
          <w:color w:val="000000"/>
        </w:rPr>
        <w:t xml:space="preserve">for transfer from the </w:t>
      </w:r>
      <w:r w:rsidR="00530D9C">
        <w:rPr>
          <w:color w:val="000000"/>
        </w:rPr>
        <w:t xml:space="preserve">Federal Government to </w:t>
      </w:r>
      <w:proofErr w:type="spellStart"/>
      <w:r w:rsidR="00530D9C">
        <w:rPr>
          <w:color w:val="000000"/>
        </w:rPr>
        <w:t>McGreer</w:t>
      </w:r>
      <w:proofErr w:type="spellEnd"/>
      <w:r w:rsidR="00530D9C">
        <w:rPr>
          <w:color w:val="000000"/>
        </w:rPr>
        <w:t>.’’</w:t>
      </w:r>
    </w:p>
    <w:p w14:paraId="43684723" w14:textId="16477B06" w:rsidR="002B0264" w:rsidRDefault="00C17C6E" w:rsidP="003070C4">
      <w:pPr>
        <w:ind w:left="360"/>
        <w:jc w:val="center"/>
        <w:rPr>
          <w:color w:val="000000"/>
        </w:rPr>
      </w:pPr>
      <w:r w:rsidRPr="00C17C6E">
        <w:rPr>
          <w:color w:val="000000"/>
        </w:rPr>
        <w:t>(3) SURVEYS.—</w:t>
      </w:r>
      <w:proofErr w:type="gramStart"/>
      <w:r w:rsidRPr="00C17C6E">
        <w:rPr>
          <w:color w:val="000000"/>
        </w:rPr>
        <w:t>The</w:t>
      </w:r>
      <w:proofErr w:type="gramEnd"/>
      <w:r w:rsidRPr="00C17C6E">
        <w:rPr>
          <w:color w:val="000000"/>
        </w:rPr>
        <w:t xml:space="preserve"> exact acreage and legal description of</w:t>
      </w:r>
      <w:r w:rsidR="001708DC">
        <w:rPr>
          <w:color w:val="000000"/>
        </w:rPr>
        <w:t xml:space="preserve"> </w:t>
      </w:r>
      <w:r w:rsidRPr="00C17C6E">
        <w:rPr>
          <w:color w:val="000000"/>
        </w:rPr>
        <w:t>the Federal land and non-Federal land described in paragraph</w:t>
      </w:r>
      <w:r w:rsidR="001708DC">
        <w:rPr>
          <w:color w:val="000000"/>
        </w:rPr>
        <w:t xml:space="preserve"> </w:t>
      </w:r>
      <w:r w:rsidRPr="00C17C6E">
        <w:rPr>
          <w:color w:val="000000"/>
        </w:rPr>
        <w:t>(2) shall be determined by surveys approved by the</w:t>
      </w:r>
      <w:r w:rsidR="002B0264">
        <w:rPr>
          <w:color w:val="000000"/>
        </w:rPr>
        <w:t xml:space="preserve"> </w:t>
      </w:r>
    </w:p>
    <w:p w14:paraId="7E72F2EA" w14:textId="478CEA59" w:rsidR="002B0264" w:rsidRDefault="003A6818" w:rsidP="003A6818">
      <w:pPr>
        <w:ind w:left="360"/>
        <w:rPr>
          <w:color w:val="000000"/>
        </w:rPr>
      </w:pPr>
      <w:r>
        <w:rPr>
          <w:color w:val="000000"/>
        </w:rPr>
        <w:t xml:space="preserve">     </w:t>
      </w:r>
      <w:proofErr w:type="gramStart"/>
      <w:r w:rsidR="002B0264" w:rsidRPr="00C17C6E">
        <w:rPr>
          <w:color w:val="000000"/>
        </w:rPr>
        <w:t>Secretary.</w:t>
      </w:r>
      <w:proofErr w:type="gramEnd"/>
    </w:p>
    <w:p w14:paraId="398A8BC3" w14:textId="1ADDEA0E" w:rsidR="00543D5B" w:rsidRDefault="00543D5B" w:rsidP="003070C4">
      <w:pPr>
        <w:ind w:left="360"/>
        <w:jc w:val="center"/>
        <w:rPr>
          <w:caps/>
        </w:rPr>
      </w:pPr>
      <w:r w:rsidRPr="003070C4">
        <w:rPr>
          <w:caps/>
        </w:rPr>
        <w:t>* * * * *</w:t>
      </w:r>
    </w:p>
    <w:p w14:paraId="32721464" w14:textId="77777777" w:rsidR="001708DC" w:rsidRDefault="001708DC" w:rsidP="001708DC">
      <w:pPr>
        <w:ind w:left="810"/>
      </w:pPr>
      <w:r>
        <w:t>(e) APPLICABLE LAW.-Except as otherwise provided in this section, the Secretary shall carry out the land exchanges under this section in accordance with section 206 of the Federal Land Policy and Management Act of 1976 (43 U.S.C. 1716).</w:t>
      </w:r>
    </w:p>
    <w:p w14:paraId="35E74BC7" w14:textId="77777777" w:rsidR="0079300E" w:rsidRDefault="0079300E" w:rsidP="001708DC">
      <w:pPr>
        <w:ind w:left="810"/>
      </w:pPr>
    </w:p>
    <w:p w14:paraId="32721465" w14:textId="77777777" w:rsidR="001708DC" w:rsidRPr="009F2A22" w:rsidRDefault="001708DC" w:rsidP="001708DC">
      <w:r>
        <w:tab/>
        <w:t xml:space="preserve"> (f) </w:t>
      </w:r>
      <w:r w:rsidRPr="009F2A22">
        <w:t>VALUATION, APPRAISALS, AND EQUALIZATION.—</w:t>
      </w:r>
    </w:p>
    <w:p w14:paraId="32721466" w14:textId="77777777" w:rsidR="001708DC" w:rsidRPr="009F2A22" w:rsidRDefault="001708DC" w:rsidP="001708DC">
      <w:pPr>
        <w:ind w:left="1440"/>
      </w:pPr>
      <w:r w:rsidRPr="009F2A22">
        <w:t>(1) IN GENERAL.—</w:t>
      </w:r>
      <w:proofErr w:type="gramStart"/>
      <w:r w:rsidRPr="009F2A22">
        <w:t>The</w:t>
      </w:r>
      <w:proofErr w:type="gramEnd"/>
      <w:r w:rsidRPr="009F2A22">
        <w:t xml:space="preserve"> value of the Federal land and the</w:t>
      </w:r>
      <w:r>
        <w:t xml:space="preserve"> </w:t>
      </w:r>
      <w:r w:rsidRPr="009F2A22">
        <w:t>non-Federal land to be conveyed in a land exchange under</w:t>
      </w:r>
      <w:r>
        <w:t xml:space="preserve"> </w:t>
      </w:r>
      <w:r w:rsidRPr="009F2A22">
        <w:t>this section—</w:t>
      </w:r>
    </w:p>
    <w:p w14:paraId="32721467" w14:textId="77777777" w:rsidR="001708DC" w:rsidRPr="009F2A22" w:rsidRDefault="001708DC" w:rsidP="001708DC">
      <w:pPr>
        <w:ind w:left="2160"/>
      </w:pPr>
      <w:r w:rsidRPr="009F2A22">
        <w:t xml:space="preserve">(A) </w:t>
      </w:r>
      <w:proofErr w:type="gramStart"/>
      <w:r w:rsidRPr="009F2A22">
        <w:t>shall</w:t>
      </w:r>
      <w:proofErr w:type="gramEnd"/>
      <w:r w:rsidRPr="009F2A22">
        <w:t xml:space="preserve"> be equal, as determined by appraisals conducted</w:t>
      </w:r>
      <w:r>
        <w:t xml:space="preserve"> </w:t>
      </w:r>
      <w:r w:rsidRPr="009F2A22">
        <w:t>in accordance with paragraph (2); or</w:t>
      </w:r>
    </w:p>
    <w:p w14:paraId="32721468" w14:textId="77777777" w:rsidR="001708DC" w:rsidRPr="009F2A22" w:rsidRDefault="001708DC" w:rsidP="001708DC">
      <w:pPr>
        <w:ind w:left="1440" w:firstLine="720"/>
      </w:pPr>
      <w:r w:rsidRPr="009F2A22">
        <w:t xml:space="preserve">(B) </w:t>
      </w:r>
      <w:proofErr w:type="gramStart"/>
      <w:r w:rsidRPr="009F2A22">
        <w:t>if</w:t>
      </w:r>
      <w:proofErr w:type="gramEnd"/>
      <w:r w:rsidRPr="009F2A22">
        <w:t xml:space="preserve"> not equal, shall be equalized in accordance with</w:t>
      </w:r>
      <w:r>
        <w:t xml:space="preserve"> </w:t>
      </w:r>
      <w:r w:rsidRPr="009F2A22">
        <w:t>paragraph (3).</w:t>
      </w:r>
    </w:p>
    <w:p w14:paraId="32721469" w14:textId="77777777" w:rsidR="001708DC" w:rsidRPr="009F2A22" w:rsidRDefault="001708DC" w:rsidP="001708DC">
      <w:pPr>
        <w:ind w:left="720" w:firstLine="720"/>
      </w:pPr>
      <w:proofErr w:type="gramStart"/>
      <w:r w:rsidRPr="009F2A22">
        <w:t>(2) APPRAISALS.—</w:t>
      </w:r>
      <w:proofErr w:type="gramEnd"/>
    </w:p>
    <w:p w14:paraId="3272146A" w14:textId="77777777" w:rsidR="001708DC" w:rsidRPr="009F2A22" w:rsidRDefault="001708DC" w:rsidP="001708DC">
      <w:pPr>
        <w:ind w:left="2160"/>
      </w:pPr>
      <w:r w:rsidRPr="009F2A22">
        <w:t>(A) IN GENERAL.—The Federal land and the non-Federal</w:t>
      </w:r>
      <w:r>
        <w:t xml:space="preserve"> </w:t>
      </w:r>
      <w:r w:rsidRPr="009F2A22">
        <w:t xml:space="preserve">land to </w:t>
      </w:r>
      <w:proofErr w:type="gramStart"/>
      <w:r w:rsidRPr="009F2A22">
        <w:t>be exchanged</w:t>
      </w:r>
      <w:proofErr w:type="gramEnd"/>
      <w:r w:rsidRPr="009F2A22">
        <w:t xml:space="preserve"> under this section shall be</w:t>
      </w:r>
      <w:r>
        <w:t xml:space="preserve"> </w:t>
      </w:r>
      <w:r w:rsidRPr="009F2A22">
        <w:t>appraised by an independent, qualified appraiser that is</w:t>
      </w:r>
      <w:r>
        <w:t xml:space="preserve"> </w:t>
      </w:r>
      <w:r w:rsidRPr="009F2A22">
        <w:t>agreed to by the Secretary and the owner of the non-Federal land to be exchanged.</w:t>
      </w:r>
    </w:p>
    <w:p w14:paraId="3272146B" w14:textId="77777777" w:rsidR="001708DC" w:rsidRDefault="001708DC" w:rsidP="001708DC">
      <w:pPr>
        <w:ind w:left="2160"/>
      </w:pPr>
      <w:r w:rsidRPr="009F2A22">
        <w:t>(B) REQUIREMENTS.—</w:t>
      </w:r>
      <w:proofErr w:type="gramStart"/>
      <w:r w:rsidRPr="009F2A22">
        <w:t>An</w:t>
      </w:r>
      <w:proofErr w:type="gramEnd"/>
      <w:r w:rsidRPr="009F2A22">
        <w:t xml:space="preserve"> appraisal under subparagraph</w:t>
      </w:r>
      <w:r>
        <w:t xml:space="preserve"> </w:t>
      </w:r>
      <w:r w:rsidRPr="009F2A22">
        <w:t>(A) shall be conducted in accordance with—</w:t>
      </w:r>
    </w:p>
    <w:p w14:paraId="3272146C" w14:textId="77777777" w:rsidR="001708DC" w:rsidRPr="00B07E24" w:rsidRDefault="001708DC" w:rsidP="001708DC">
      <w:pPr>
        <w:ind w:left="2880"/>
      </w:pPr>
      <w:r w:rsidRPr="00B07E24">
        <w:t>(</w:t>
      </w:r>
      <w:proofErr w:type="spellStart"/>
      <w:r w:rsidRPr="00B07E24">
        <w:t>i</w:t>
      </w:r>
      <w:proofErr w:type="spellEnd"/>
      <w:r w:rsidRPr="00B07E24">
        <w:t xml:space="preserve">) </w:t>
      </w:r>
      <w:proofErr w:type="gramStart"/>
      <w:r w:rsidRPr="00B07E24">
        <w:t>the</w:t>
      </w:r>
      <w:proofErr w:type="gramEnd"/>
      <w:r w:rsidRPr="00B07E24">
        <w:t xml:space="preserve"> Uniform Appraisal Standards for Federal</w:t>
      </w:r>
      <w:r>
        <w:t xml:space="preserve"> </w:t>
      </w:r>
      <w:r w:rsidRPr="00B07E24">
        <w:t>Land Acquisitions; and</w:t>
      </w:r>
    </w:p>
    <w:p w14:paraId="3272146D" w14:textId="77777777" w:rsidR="001708DC" w:rsidRPr="00B07E24" w:rsidRDefault="001708DC" w:rsidP="001708DC">
      <w:pPr>
        <w:ind w:left="2160" w:firstLine="720"/>
      </w:pPr>
      <w:r w:rsidRPr="00B07E24">
        <w:t xml:space="preserve">(ii) </w:t>
      </w:r>
      <w:proofErr w:type="gramStart"/>
      <w:r w:rsidRPr="00B07E24">
        <w:t>the</w:t>
      </w:r>
      <w:proofErr w:type="gramEnd"/>
      <w:r w:rsidRPr="00B07E24">
        <w:t xml:space="preserve"> Uniform Standards of Professional</w:t>
      </w:r>
      <w:r>
        <w:t xml:space="preserve"> </w:t>
      </w:r>
      <w:r w:rsidRPr="00B07E24">
        <w:t>Appraisal Practice.</w:t>
      </w:r>
    </w:p>
    <w:p w14:paraId="3272146E" w14:textId="77777777" w:rsidR="001708DC" w:rsidRPr="00B07E24" w:rsidRDefault="001708DC" w:rsidP="001708DC">
      <w:pPr>
        <w:ind w:left="720" w:firstLine="720"/>
      </w:pPr>
      <w:proofErr w:type="gramStart"/>
      <w:r w:rsidRPr="00B07E24">
        <w:t>(3) EQUALIZATION.—</w:t>
      </w:r>
      <w:proofErr w:type="gramEnd"/>
    </w:p>
    <w:p w14:paraId="3272146F" w14:textId="77777777" w:rsidR="001708DC" w:rsidRPr="00B07E24" w:rsidRDefault="001708DC" w:rsidP="001708DC">
      <w:pPr>
        <w:ind w:left="2160"/>
      </w:pPr>
      <w:r w:rsidRPr="00B07E24">
        <w:t>(A) IN GENERAL.—</w:t>
      </w:r>
      <w:proofErr w:type="gramStart"/>
      <w:r w:rsidRPr="00B07E24">
        <w:t>If</w:t>
      </w:r>
      <w:proofErr w:type="gramEnd"/>
      <w:r w:rsidRPr="00B07E24">
        <w:t xml:space="preserve"> the value of the Federal land</w:t>
      </w:r>
      <w:r>
        <w:t xml:space="preserve"> </w:t>
      </w:r>
      <w:r w:rsidRPr="00B07E24">
        <w:t>and the non-Federal land to be conveyed in a land exchange</w:t>
      </w:r>
      <w:r>
        <w:t xml:space="preserve"> </w:t>
      </w:r>
      <w:r w:rsidRPr="00B07E24">
        <w:t>under this section is not equal, the value may be equalized</w:t>
      </w:r>
      <w:r>
        <w:t xml:space="preserve"> </w:t>
      </w:r>
      <w:r w:rsidRPr="00B07E24">
        <w:t>by—</w:t>
      </w:r>
    </w:p>
    <w:p w14:paraId="32721470" w14:textId="77777777" w:rsidR="001708DC" w:rsidRPr="00B07E24" w:rsidRDefault="001708DC" w:rsidP="001708DC">
      <w:pPr>
        <w:ind w:left="2160" w:firstLine="720"/>
      </w:pPr>
      <w:r w:rsidRPr="00B07E24">
        <w:t>(</w:t>
      </w:r>
      <w:proofErr w:type="spellStart"/>
      <w:r w:rsidRPr="00B07E24">
        <w:t>i</w:t>
      </w:r>
      <w:proofErr w:type="spellEnd"/>
      <w:r w:rsidRPr="00B07E24">
        <w:t>) making a cash equalization payment to the</w:t>
      </w:r>
      <w:r>
        <w:t xml:space="preserve"> </w:t>
      </w:r>
      <w:r w:rsidRPr="00B07E24">
        <w:t>Secretary or to the owner of the non-Federal land,</w:t>
      </w:r>
      <w:r>
        <w:t xml:space="preserve"> </w:t>
      </w:r>
      <w:r w:rsidRPr="00B07E24">
        <w:t>as appropriate, in accordance with section 206(b) of</w:t>
      </w:r>
      <w:r>
        <w:t xml:space="preserve"> </w:t>
      </w:r>
      <w:r w:rsidRPr="00B07E24">
        <w:t>the Federal Land Policy and Management Act of 1976</w:t>
      </w:r>
      <w:r>
        <w:t xml:space="preserve"> </w:t>
      </w:r>
      <w:r w:rsidRPr="00B07E24">
        <w:t>(43 U.S.C. 1716(b)); or</w:t>
      </w:r>
    </w:p>
    <w:p w14:paraId="32721471" w14:textId="77777777" w:rsidR="001708DC" w:rsidRPr="00B07E24" w:rsidRDefault="001708DC" w:rsidP="001708DC">
      <w:pPr>
        <w:ind w:left="2160" w:firstLine="720"/>
      </w:pPr>
      <w:r w:rsidRPr="00B07E24">
        <w:t xml:space="preserve">(ii) </w:t>
      </w:r>
      <w:proofErr w:type="gramStart"/>
      <w:r w:rsidRPr="00B07E24">
        <w:t>reducing</w:t>
      </w:r>
      <w:proofErr w:type="gramEnd"/>
      <w:r w:rsidRPr="00B07E24">
        <w:t xml:space="preserve"> the acreage of the Federal land or</w:t>
      </w:r>
      <w:r>
        <w:t xml:space="preserve"> </w:t>
      </w:r>
      <w:r w:rsidRPr="00B07E24">
        <w:t>the non-Federal land to be exchanged, as appropriate.</w:t>
      </w:r>
    </w:p>
    <w:p w14:paraId="32721472" w14:textId="77777777" w:rsidR="001708DC" w:rsidRPr="00B07E24" w:rsidRDefault="001708DC" w:rsidP="001708DC">
      <w:pPr>
        <w:ind w:left="2160"/>
      </w:pPr>
      <w:r w:rsidRPr="00B07E24">
        <w:t xml:space="preserve">(B) CASH EQUALIZATION </w:t>
      </w:r>
      <w:r>
        <w:t>P</w:t>
      </w:r>
      <w:r w:rsidRPr="00B07E24">
        <w:t>AYMENTS.—Any cash equalization</w:t>
      </w:r>
      <w:r>
        <w:t xml:space="preserve"> </w:t>
      </w:r>
      <w:r w:rsidRPr="00B07E24">
        <w:t>payments received by the Secretary under subparagraph</w:t>
      </w:r>
      <w:r>
        <w:t xml:space="preserve"> </w:t>
      </w:r>
      <w:r w:rsidRPr="00B07E24">
        <w:t>(A</w:t>
      </w:r>
      <w:proofErr w:type="gramStart"/>
      <w:r w:rsidRPr="00B07E24">
        <w:t>)(</w:t>
      </w:r>
      <w:proofErr w:type="spellStart"/>
      <w:proofErr w:type="gramEnd"/>
      <w:r w:rsidRPr="00B07E24">
        <w:t>i</w:t>
      </w:r>
      <w:proofErr w:type="spellEnd"/>
      <w:r w:rsidRPr="00B07E24">
        <w:t>) shall be—</w:t>
      </w:r>
    </w:p>
    <w:p w14:paraId="32721473" w14:textId="5C991953" w:rsidR="001708DC" w:rsidRPr="00B07E24" w:rsidRDefault="001708DC" w:rsidP="001708DC">
      <w:pPr>
        <w:ind w:left="2880"/>
      </w:pPr>
      <w:r w:rsidRPr="00B07E24">
        <w:t>(</w:t>
      </w:r>
      <w:proofErr w:type="spellStart"/>
      <w:r w:rsidRPr="00B07E24">
        <w:t>i</w:t>
      </w:r>
      <w:proofErr w:type="spellEnd"/>
      <w:r w:rsidRPr="00864FBA">
        <w:t xml:space="preserve">) </w:t>
      </w:r>
      <w:proofErr w:type="gramStart"/>
      <w:r w:rsidRPr="00864FBA">
        <w:t>deposited</w:t>
      </w:r>
      <w:proofErr w:type="gramEnd"/>
      <w:r w:rsidRPr="00864FBA">
        <w:t xml:space="preserve"> in the Federal Land Disposal Account established by section 206(a) of the Federal Land Transaction Facilitation Act (43 U.S.C. 2305(a));</w:t>
      </w:r>
      <w:r w:rsidRPr="00B07E24">
        <w:t xml:space="preserve"> </w:t>
      </w:r>
      <w:r w:rsidR="00623B62">
        <w:t>*</w:t>
      </w:r>
      <w:r w:rsidRPr="00B07E24">
        <w:t>and</w:t>
      </w:r>
    </w:p>
    <w:p w14:paraId="32721474" w14:textId="77777777" w:rsidR="001708DC" w:rsidRDefault="001708DC" w:rsidP="001708DC">
      <w:pPr>
        <w:ind w:left="2160" w:firstLine="720"/>
      </w:pPr>
      <w:r w:rsidRPr="00B07E24">
        <w:t xml:space="preserve">(ii) </w:t>
      </w:r>
      <w:proofErr w:type="gramStart"/>
      <w:r w:rsidRPr="00B07E24">
        <w:t>used</w:t>
      </w:r>
      <w:proofErr w:type="gramEnd"/>
      <w:r w:rsidRPr="00B07E24">
        <w:t xml:space="preserve"> in accordance with that Act.</w:t>
      </w:r>
    </w:p>
    <w:p w14:paraId="32721475" w14:textId="77777777" w:rsidR="001708DC" w:rsidRPr="00B07E24" w:rsidRDefault="001708DC" w:rsidP="001708DC">
      <w:pPr>
        <w:ind w:left="2160" w:firstLine="720"/>
      </w:pPr>
    </w:p>
    <w:p w14:paraId="1D2ABC28" w14:textId="77777777" w:rsidR="008A52CE" w:rsidRDefault="008A52CE">
      <w:r>
        <w:br w:type="page"/>
      </w:r>
    </w:p>
    <w:p w14:paraId="32721476" w14:textId="4CE8E1C9" w:rsidR="001708DC" w:rsidRPr="00B07E24" w:rsidRDefault="001708DC" w:rsidP="001708DC">
      <w:pPr>
        <w:ind w:left="810"/>
      </w:pPr>
      <w:proofErr w:type="gramStart"/>
      <w:r w:rsidRPr="00B07E24">
        <w:lastRenderedPageBreak/>
        <w:t>(g) CONDITIONS OF EXCHANGE.—</w:t>
      </w:r>
      <w:proofErr w:type="gramEnd"/>
    </w:p>
    <w:p w14:paraId="32721477" w14:textId="77777777" w:rsidR="001708DC" w:rsidRPr="00B07E24" w:rsidRDefault="001708DC" w:rsidP="001708DC">
      <w:pPr>
        <w:ind w:left="1440"/>
      </w:pPr>
      <w:r w:rsidRPr="00B07E24">
        <w:t>(1) IN GENERAL.—</w:t>
      </w:r>
      <w:proofErr w:type="gramStart"/>
      <w:r w:rsidRPr="00B07E24">
        <w:t>The</w:t>
      </w:r>
      <w:proofErr w:type="gramEnd"/>
      <w:r w:rsidRPr="00B07E24">
        <w:t xml:space="preserve"> land exchanges under this section</w:t>
      </w:r>
      <w:r>
        <w:t xml:space="preserve"> </w:t>
      </w:r>
      <w:r w:rsidRPr="00B07E24">
        <w:t>shall be subject to such terms and conditions as the Secretary</w:t>
      </w:r>
      <w:r>
        <w:t xml:space="preserve"> </w:t>
      </w:r>
      <w:r w:rsidRPr="00B07E24">
        <w:t>may require.</w:t>
      </w:r>
    </w:p>
    <w:p w14:paraId="32721478" w14:textId="77777777" w:rsidR="001708DC" w:rsidRPr="00B07E24" w:rsidRDefault="001708DC" w:rsidP="001708DC">
      <w:pPr>
        <w:ind w:left="1440"/>
      </w:pPr>
      <w:r w:rsidRPr="00B07E24">
        <w:t>(2) COSTS.—As a condition of a conveyance of Federal land</w:t>
      </w:r>
      <w:r>
        <w:t xml:space="preserve"> </w:t>
      </w:r>
      <w:r w:rsidRPr="00B07E24">
        <w:t>and non-Federal land under this section, the Federal Government</w:t>
      </w:r>
      <w:r>
        <w:t xml:space="preserve"> </w:t>
      </w:r>
      <w:r w:rsidRPr="00B07E24">
        <w:t>and the owner of the non-Federal land shall equally</w:t>
      </w:r>
      <w:r>
        <w:t xml:space="preserve"> </w:t>
      </w:r>
      <w:r w:rsidRPr="00B07E24">
        <w:t>share all costs relating to the land exchange, including the</w:t>
      </w:r>
      <w:r>
        <w:t xml:space="preserve"> </w:t>
      </w:r>
      <w:r w:rsidRPr="00B07E24">
        <w:t>costs of appraisals, surveys, and any necessary environmental</w:t>
      </w:r>
      <w:r>
        <w:t xml:space="preserve"> </w:t>
      </w:r>
      <w:r w:rsidRPr="00B07E24">
        <w:t>clearances.</w:t>
      </w:r>
    </w:p>
    <w:p w14:paraId="32721479" w14:textId="22FD1C60" w:rsidR="001708DC" w:rsidRDefault="001708DC" w:rsidP="001708DC">
      <w:pPr>
        <w:ind w:left="1440"/>
      </w:pPr>
      <w:r w:rsidRPr="00B07E24">
        <w:t>(3) VALID EXISTING RIGHTS.—</w:t>
      </w:r>
      <w:proofErr w:type="gramStart"/>
      <w:r w:rsidRPr="00B07E24">
        <w:t>The</w:t>
      </w:r>
      <w:proofErr w:type="gramEnd"/>
      <w:r w:rsidRPr="00B07E24">
        <w:t xml:space="preserve"> exchange of Federal land</w:t>
      </w:r>
      <w:r>
        <w:t xml:space="preserve"> </w:t>
      </w:r>
      <w:r w:rsidRPr="00B07E24">
        <w:t>and non-Federal land under this section shall be subject to</w:t>
      </w:r>
      <w:r>
        <w:t xml:space="preserve"> </w:t>
      </w:r>
      <w:r w:rsidRPr="00B07E24">
        <w:t>any easements, rights-of-way, and other valid rights in existence</w:t>
      </w:r>
      <w:r>
        <w:t xml:space="preserve"> </w:t>
      </w:r>
      <w:r w:rsidR="00530D9C">
        <w:t xml:space="preserve">on the date of enactment of </w:t>
      </w:r>
      <w:r w:rsidR="006447C1">
        <w:t>the Omnibus Act</w:t>
      </w:r>
      <w:r w:rsidRPr="00B07E24">
        <w:t>.</w:t>
      </w:r>
    </w:p>
    <w:p w14:paraId="0552F1FE" w14:textId="77777777" w:rsidR="0079300E" w:rsidRPr="00B07E24" w:rsidRDefault="0079300E" w:rsidP="001708DC">
      <w:pPr>
        <w:ind w:left="1440"/>
      </w:pPr>
    </w:p>
    <w:p w14:paraId="3272147A" w14:textId="41E8548F" w:rsidR="001708DC" w:rsidRDefault="001708DC" w:rsidP="003070C4">
      <w:pPr>
        <w:ind w:left="810"/>
      </w:pPr>
      <w:r w:rsidRPr="00B07E24">
        <w:t>(h) COMPLETION OF LAND EXCHANGE.—</w:t>
      </w:r>
      <w:proofErr w:type="gramStart"/>
      <w:r w:rsidRPr="00B07E24">
        <w:t>It</w:t>
      </w:r>
      <w:proofErr w:type="gramEnd"/>
      <w:r w:rsidRPr="00B07E24">
        <w:t xml:space="preserve"> is the intent of Congress</w:t>
      </w:r>
      <w:r>
        <w:t xml:space="preserve"> </w:t>
      </w:r>
      <w:r w:rsidRPr="00B07E24">
        <w:t xml:space="preserve">that the land </w:t>
      </w:r>
      <w:r w:rsidR="003070C4">
        <w:t xml:space="preserve">     </w:t>
      </w:r>
      <w:r w:rsidRPr="00B07E24">
        <w:t>exchanges under this section shall be completed</w:t>
      </w:r>
      <w:r>
        <w:t xml:space="preserve"> </w:t>
      </w:r>
      <w:r w:rsidR="00C44FC4" w:rsidRPr="00B07E24">
        <w:t>no</w:t>
      </w:r>
      <w:r w:rsidRPr="00B07E24">
        <w:t xml:space="preserve"> later than 2 years after the date of enactment of this Act.</w:t>
      </w:r>
    </w:p>
    <w:p w14:paraId="63667CEC" w14:textId="77777777" w:rsidR="00623B62" w:rsidRDefault="00623B62" w:rsidP="003070C4">
      <w:pPr>
        <w:ind w:left="810"/>
      </w:pPr>
    </w:p>
    <w:p w14:paraId="786D7026" w14:textId="3DE05D42" w:rsidR="00623B62" w:rsidRPr="00623B62" w:rsidRDefault="00623B62" w:rsidP="00623B62">
      <w:pPr>
        <w:rPr>
          <w:i/>
        </w:rPr>
      </w:pPr>
      <w:r w:rsidRPr="00623B62">
        <w:rPr>
          <w:i/>
        </w:rPr>
        <w:t xml:space="preserve">* The Federal Land Disposal Account established by section 206(a) of the Federal Land Transaction Facilitation Act (43 U.S.C. 2305(a)) has lapsed.  The cash equalization payment of $15,000 </w:t>
      </w:r>
      <w:proofErr w:type="gramStart"/>
      <w:r w:rsidRPr="00623B62">
        <w:rPr>
          <w:i/>
        </w:rPr>
        <w:t>will be deposited</w:t>
      </w:r>
      <w:proofErr w:type="gramEnd"/>
      <w:r w:rsidRPr="00623B62">
        <w:rPr>
          <w:i/>
        </w:rPr>
        <w:t xml:space="preserve"> in the General Fund.</w:t>
      </w:r>
    </w:p>
    <w:p w14:paraId="3272147B" w14:textId="77777777" w:rsidR="00B86C0C" w:rsidRDefault="00B86C0C" w:rsidP="001708DC">
      <w:pPr>
        <w:ind w:left="810"/>
      </w:pPr>
    </w:p>
    <w:p w14:paraId="3272147D" w14:textId="04A09E4D" w:rsidR="00B86C0C" w:rsidRDefault="00C44FC4" w:rsidP="00B86C0C">
      <w:r>
        <w:t xml:space="preserve">Hugh Kelly </w:t>
      </w:r>
      <w:r w:rsidR="00623B62">
        <w:t xml:space="preserve">and Rosemary </w:t>
      </w:r>
      <w:proofErr w:type="spellStart"/>
      <w:r>
        <w:t>McGreer</w:t>
      </w:r>
      <w:proofErr w:type="spellEnd"/>
      <w:r w:rsidR="00FE26D4">
        <w:t xml:space="preserve"> submitted a land exchange proposal to the Prineville District Office on </w:t>
      </w:r>
      <w:r w:rsidR="00D73482">
        <w:t>October 29</w:t>
      </w:r>
      <w:r>
        <w:t xml:space="preserve">, </w:t>
      </w:r>
      <w:r w:rsidR="004420E1">
        <w:t>2009</w:t>
      </w:r>
      <w:r w:rsidR="00FE26D4">
        <w:t xml:space="preserve">.  The initial proposal offered </w:t>
      </w:r>
      <w:r w:rsidR="009169A2">
        <w:t>26.47</w:t>
      </w:r>
      <w:r w:rsidR="00FE26D4">
        <w:t xml:space="preserve"> acres of non-Federal land for</w:t>
      </w:r>
      <w:r w:rsidR="009169A2">
        <w:t xml:space="preserve"> 344.31 </w:t>
      </w:r>
      <w:r w:rsidR="00FE26D4">
        <w:t>acres of Federal lan</w:t>
      </w:r>
      <w:r w:rsidR="00530D9C">
        <w:t xml:space="preserve">d as provided </w:t>
      </w:r>
      <w:r w:rsidR="00FE542D">
        <w:t>by</w:t>
      </w:r>
      <w:r w:rsidR="00530D9C">
        <w:t xml:space="preserve"> </w:t>
      </w:r>
      <w:r w:rsidR="006447C1">
        <w:t>the Omnibus Act</w:t>
      </w:r>
      <w:r w:rsidR="00FE26D4">
        <w:t xml:space="preserve">.  The non-Federal </w:t>
      </w:r>
      <w:r w:rsidR="00D73482">
        <w:t>land was</w:t>
      </w:r>
      <w:r w:rsidR="00FE26D4">
        <w:t xml:space="preserve"> comprised of two separate Wheeler County tax lots:  T</w:t>
      </w:r>
      <w:r w:rsidR="00FE26D4" w:rsidRPr="00FE26D4">
        <w:t xml:space="preserve">ax </w:t>
      </w:r>
      <w:r w:rsidR="00CE037E">
        <w:t>L</w:t>
      </w:r>
      <w:r w:rsidR="00FE26D4" w:rsidRPr="00FE26D4">
        <w:t>ot 700</w:t>
      </w:r>
      <w:r w:rsidR="00FE26D4">
        <w:t xml:space="preserve">, </w:t>
      </w:r>
      <w:r w:rsidR="00FE26D4" w:rsidRPr="00FE26D4">
        <w:t>11.04 acres</w:t>
      </w:r>
      <w:r w:rsidR="00FE26D4">
        <w:t>, owned</w:t>
      </w:r>
      <w:r w:rsidR="00FE26D4" w:rsidRPr="00FE26D4">
        <w:t xml:space="preserve"> by </w:t>
      </w:r>
      <w:r w:rsidR="00623B62">
        <w:t xml:space="preserve">Hugh Kelly and Rosemary </w:t>
      </w:r>
      <w:proofErr w:type="spellStart"/>
      <w:r w:rsidR="00623B62">
        <w:t>McGreer</w:t>
      </w:r>
      <w:proofErr w:type="spellEnd"/>
      <w:r w:rsidR="00623B62">
        <w:t xml:space="preserve"> </w:t>
      </w:r>
      <w:r w:rsidR="00FE26D4">
        <w:t>and T</w:t>
      </w:r>
      <w:r w:rsidR="00FE26D4" w:rsidRPr="00FE26D4">
        <w:t xml:space="preserve">ax </w:t>
      </w:r>
      <w:r w:rsidR="00CE037E">
        <w:t>L</w:t>
      </w:r>
      <w:r w:rsidR="00FE26D4" w:rsidRPr="00FE26D4">
        <w:t>ot 902</w:t>
      </w:r>
      <w:r w:rsidR="00FE26D4">
        <w:t>,</w:t>
      </w:r>
      <w:r w:rsidR="00FE26D4" w:rsidRPr="00FE26D4">
        <w:t xml:space="preserve"> 15.43 acres</w:t>
      </w:r>
      <w:r w:rsidR="009169A2">
        <w:t xml:space="preserve">, owned </w:t>
      </w:r>
      <w:r w:rsidR="00FE26D4" w:rsidRPr="00FE26D4">
        <w:t xml:space="preserve">by Erin </w:t>
      </w:r>
      <w:proofErr w:type="spellStart"/>
      <w:r w:rsidR="00FE26D4" w:rsidRPr="00FE26D4">
        <w:t>McGreer</w:t>
      </w:r>
      <w:proofErr w:type="spellEnd"/>
      <w:r w:rsidR="00FE26D4" w:rsidRPr="00FE26D4">
        <w:t xml:space="preserve"> and William Cole.</w:t>
      </w:r>
      <w:r w:rsidR="00623B62">
        <w:t xml:space="preserve">  Subsequently, Hugh Kelly and Rosemary </w:t>
      </w:r>
      <w:proofErr w:type="spellStart"/>
      <w:r w:rsidR="00623B62">
        <w:t>McGreer</w:t>
      </w:r>
      <w:proofErr w:type="spellEnd"/>
      <w:r w:rsidR="00623B62">
        <w:t xml:space="preserve"> acquired Tax Lot 902 from their daughter and son-in-law by land exchange and </w:t>
      </w:r>
      <w:r w:rsidR="00FE542D">
        <w:t xml:space="preserve">are now </w:t>
      </w:r>
      <w:r w:rsidR="00623B62">
        <w:t>offer</w:t>
      </w:r>
      <w:r w:rsidR="00FE542D">
        <w:t>ing</w:t>
      </w:r>
      <w:r w:rsidR="00623B62">
        <w:t xml:space="preserve"> the property to the BLM in this land exchange proposal.</w:t>
      </w:r>
    </w:p>
    <w:p w14:paraId="23ABCD28" w14:textId="77777777" w:rsidR="009169A2" w:rsidRDefault="009169A2" w:rsidP="00B86C0C"/>
    <w:p w14:paraId="705BC1A9" w14:textId="162B96BC" w:rsidR="009169A2" w:rsidRDefault="00623B62" w:rsidP="00B86C0C">
      <w:r>
        <w:t>T</w:t>
      </w:r>
      <w:r w:rsidR="009169A2" w:rsidRPr="009169A2">
        <w:t xml:space="preserve">he BLM coordinated with the Office of Valuation Services (OVS) to contract for a market value appraisal </w:t>
      </w:r>
      <w:r>
        <w:t xml:space="preserve">of the subject Federal and non-Federal land </w:t>
      </w:r>
      <w:r w:rsidR="009169A2" w:rsidRPr="009169A2">
        <w:t xml:space="preserve">with an independent fee appraiser.  The OVS administered the contract, prepared an Appraisal Review Report, and approved the values for agency use.  The OVS received the appraiser’s final reports for both the Federal and non-Federal lands on January 11, 2012.  The approved market value opinion for the Federal land was $95,000.  The approved market value opinion for the non-Federal land was $120,000 and included an individual value of $40,000 for tax </w:t>
      </w:r>
      <w:r w:rsidR="00CE037E">
        <w:t>L</w:t>
      </w:r>
      <w:r w:rsidR="009169A2" w:rsidRPr="009169A2">
        <w:t xml:space="preserve">ot 700 and $80,000 for </w:t>
      </w:r>
      <w:r w:rsidR="00CE037E">
        <w:t>T</w:t>
      </w:r>
      <w:r w:rsidR="009169A2" w:rsidRPr="009169A2">
        <w:t xml:space="preserve">ax </w:t>
      </w:r>
      <w:r w:rsidR="00CE037E">
        <w:t>L</w:t>
      </w:r>
      <w:r w:rsidR="009169A2" w:rsidRPr="009169A2">
        <w:t>ot 902.</w:t>
      </w:r>
      <w:r w:rsidR="003E7F96">
        <w:t xml:space="preserve">  </w:t>
      </w:r>
      <w:r w:rsidR="00D73482" w:rsidRPr="003E7F96">
        <w:t>A recent consultation with OVS indicates that these values are current and will remain valid through the 2013 calendar year.</w:t>
      </w:r>
    </w:p>
    <w:p w14:paraId="4CB09B1D" w14:textId="77777777" w:rsidR="009169A2" w:rsidRDefault="009169A2" w:rsidP="00B86C0C"/>
    <w:p w14:paraId="1B046844" w14:textId="58032F36" w:rsidR="00791FB6" w:rsidRDefault="009169A2" w:rsidP="00791FB6">
      <w:r>
        <w:t>Based on the approved values, it was immediately apparent that the exchange, as proposed, did not meet the requirements of FLPMA Section 206(b)</w:t>
      </w:r>
      <w:r w:rsidR="00791FB6">
        <w:t>,</w:t>
      </w:r>
      <w:r>
        <w:t xml:space="preserve"> which limits cash equalization payments to 25 percent of the value of the Federal land.  </w:t>
      </w:r>
      <w:r w:rsidR="00791FB6">
        <w:t xml:space="preserve">The </w:t>
      </w:r>
      <w:r w:rsidR="003E2B79">
        <w:t xml:space="preserve">Prineville </w:t>
      </w:r>
      <w:r w:rsidR="00791FB6">
        <w:t xml:space="preserve">District Office consulted with </w:t>
      </w:r>
      <w:r w:rsidR="00791FB6" w:rsidRPr="00791FB6">
        <w:t xml:space="preserve">the Washington Office </w:t>
      </w:r>
      <w:r w:rsidR="00791FB6">
        <w:t xml:space="preserve">to develop an equalization strategy </w:t>
      </w:r>
      <w:r w:rsidR="00791FB6" w:rsidRPr="00791FB6">
        <w:t xml:space="preserve">that </w:t>
      </w:r>
      <w:r w:rsidR="00791FB6">
        <w:t xml:space="preserve">would meet both the requirements of FLPMA Section 206(b) and the intent of </w:t>
      </w:r>
      <w:r w:rsidR="00791FB6" w:rsidRPr="00791FB6">
        <w:t>Subtitle J, Section 1754(b)</w:t>
      </w:r>
      <w:r w:rsidR="003E2B79">
        <w:t>,</w:t>
      </w:r>
      <w:r w:rsidR="00791FB6" w:rsidRPr="00791FB6">
        <w:t xml:space="preserve"> of </w:t>
      </w:r>
      <w:r w:rsidR="006447C1">
        <w:t>the Omnibus Act</w:t>
      </w:r>
      <w:r w:rsidR="00791FB6">
        <w:t xml:space="preserve">. </w:t>
      </w:r>
    </w:p>
    <w:p w14:paraId="6A79AFDA" w14:textId="77777777" w:rsidR="00791FB6" w:rsidRDefault="00791FB6" w:rsidP="00791FB6"/>
    <w:p w14:paraId="283C321C" w14:textId="51707101" w:rsidR="00791FB6" w:rsidRDefault="00791FB6" w:rsidP="00791FB6">
      <w:r>
        <w:t xml:space="preserve">The BLM and the </w:t>
      </w:r>
      <w:proofErr w:type="spellStart"/>
      <w:r>
        <w:t>McGreer</w:t>
      </w:r>
      <w:proofErr w:type="spellEnd"/>
      <w:r w:rsidR="009E4D1B">
        <w:t xml:space="preserve"> family</w:t>
      </w:r>
      <w:r>
        <w:t xml:space="preserve"> considered many alternative exchange configurations and agreed upon </w:t>
      </w:r>
      <w:r w:rsidR="003E7F96">
        <w:t xml:space="preserve">an </w:t>
      </w:r>
      <w:r w:rsidR="004420E1">
        <w:t xml:space="preserve">equalization </w:t>
      </w:r>
      <w:r>
        <w:t>strategy</w:t>
      </w:r>
      <w:r w:rsidR="003E7F96">
        <w:t xml:space="preserve"> that </w:t>
      </w:r>
      <w:r w:rsidRPr="00791FB6">
        <w:t>divided</w:t>
      </w:r>
      <w:r w:rsidR="003E7F96">
        <w:t xml:space="preserve"> the transaction </w:t>
      </w:r>
      <w:r w:rsidRPr="00791FB6">
        <w:t xml:space="preserve">into two separate components, a </w:t>
      </w:r>
      <w:r w:rsidR="002503BA">
        <w:t xml:space="preserve">land </w:t>
      </w:r>
      <w:r w:rsidRPr="00791FB6">
        <w:t>purchase and a land exchange.  Th</w:t>
      </w:r>
      <w:r w:rsidR="002503BA">
        <w:t xml:space="preserve">e intent </w:t>
      </w:r>
      <w:r w:rsidRPr="00791FB6">
        <w:t xml:space="preserve">was to allow for the equalization of values within regulatory limits.  To support this approach, </w:t>
      </w:r>
      <w:r w:rsidR="00B27EDE">
        <w:t xml:space="preserve">Hugh Kelly and Rosemary </w:t>
      </w:r>
      <w:proofErr w:type="spellStart"/>
      <w:r w:rsidR="00B27EDE">
        <w:t>McGreer</w:t>
      </w:r>
      <w:proofErr w:type="spellEnd"/>
      <w:r w:rsidR="00B27EDE">
        <w:t xml:space="preserve"> </w:t>
      </w:r>
      <w:r w:rsidRPr="00791FB6">
        <w:t xml:space="preserve">offered to sell </w:t>
      </w:r>
      <w:r w:rsidRPr="00791FB6">
        <w:lastRenderedPageBreak/>
        <w:t xml:space="preserve">all right, title, and interest in </w:t>
      </w:r>
      <w:r w:rsidR="00CE037E">
        <w:t>T</w:t>
      </w:r>
      <w:r w:rsidRPr="00791FB6">
        <w:t xml:space="preserve">ax </w:t>
      </w:r>
      <w:r w:rsidR="00CE037E">
        <w:t>L</w:t>
      </w:r>
      <w:r w:rsidRPr="00791FB6">
        <w:t xml:space="preserve">ot 700 to the United States.  </w:t>
      </w:r>
      <w:r w:rsidR="00B705FD">
        <w:t xml:space="preserve">On June 4, 2013, the United States accepted title of Tax Lot 700 by purchase with funding from the emergency account of the Land and Water Conservation Fund (LWCF).  </w:t>
      </w:r>
      <w:r w:rsidRPr="00791FB6">
        <w:t xml:space="preserve">The purchase price offer </w:t>
      </w:r>
      <w:r w:rsidR="00D73482">
        <w:t>was</w:t>
      </w:r>
      <w:r w:rsidRPr="00791FB6">
        <w:t xml:space="preserve"> $40,000</w:t>
      </w:r>
      <w:r w:rsidR="00B705FD">
        <w:t xml:space="preserve">, </w:t>
      </w:r>
      <w:r w:rsidR="003E2B79">
        <w:t>t</w:t>
      </w:r>
      <w:r w:rsidRPr="00791FB6">
        <w:t xml:space="preserve">he approved market value.  </w:t>
      </w:r>
      <w:r w:rsidR="00B705FD" w:rsidRPr="00B705FD">
        <w:t>The acquisition case is serialized OR-67600 and was processed separately from the exchange.</w:t>
      </w:r>
      <w:r w:rsidR="00B705FD">
        <w:t xml:space="preserve"> </w:t>
      </w:r>
    </w:p>
    <w:p w14:paraId="6CE9C00C" w14:textId="77777777" w:rsidR="00803E61" w:rsidRDefault="00803E61" w:rsidP="00791FB6"/>
    <w:p w14:paraId="5E796F57" w14:textId="0636AEB2" w:rsidR="00803E61" w:rsidRPr="00791FB6" w:rsidRDefault="00803E61" w:rsidP="00791FB6">
      <w:r w:rsidRPr="00803E61">
        <w:t>In this exchange transaction, the BLM will convey the Federal land valued at $95,000 for the non-Federal land (</w:t>
      </w:r>
      <w:proofErr w:type="spellStart"/>
      <w:r w:rsidRPr="00803E61">
        <w:t>McGreer</w:t>
      </w:r>
      <w:proofErr w:type="spellEnd"/>
      <w:r w:rsidRPr="00803E61">
        <w:t xml:space="preserve"> Tax Lot 902) valued at $80,000.  This would include a cash equalization payment of $15,000 to the United States.  This cash equalization payment is 15.79 percent of the value of the Federal land and within the 25 percent maximum difference established by regulation.</w:t>
      </w:r>
    </w:p>
    <w:p w14:paraId="285B3111" w14:textId="77777777" w:rsidR="00791FB6" w:rsidRPr="00791FB6" w:rsidRDefault="00791FB6" w:rsidP="00791FB6"/>
    <w:p w14:paraId="61ED6F17" w14:textId="77777777" w:rsidR="00997A0C" w:rsidRDefault="004475AF" w:rsidP="00997A0C">
      <w:pPr>
        <w:pStyle w:val="Style"/>
        <w:rPr>
          <w:b/>
        </w:rPr>
      </w:pPr>
      <w:r w:rsidRPr="00D12C60">
        <w:rPr>
          <w:b/>
        </w:rPr>
        <w:t>2</w:t>
      </w:r>
      <w:r w:rsidR="000D0D5D" w:rsidRPr="00D12C60">
        <w:rPr>
          <w:b/>
        </w:rPr>
        <w:t>.0</w:t>
      </w:r>
      <w:r w:rsidR="000D0D5D" w:rsidRPr="00D12C60">
        <w:rPr>
          <w:b/>
        </w:rPr>
        <w:tab/>
      </w:r>
      <w:r w:rsidR="00713AB3" w:rsidRPr="00D12C60">
        <w:rPr>
          <w:b/>
        </w:rPr>
        <w:t>EXCHANGE PROPOSAL</w:t>
      </w:r>
      <w:bookmarkStart w:id="1" w:name="_Toc326154803"/>
    </w:p>
    <w:p w14:paraId="5B9887F9" w14:textId="77777777" w:rsidR="00997A0C" w:rsidRDefault="00997A0C" w:rsidP="00997A0C">
      <w:pPr>
        <w:pStyle w:val="Style"/>
        <w:rPr>
          <w:b/>
        </w:rPr>
      </w:pPr>
    </w:p>
    <w:p w14:paraId="1479B458" w14:textId="77777777" w:rsidR="00E930E7" w:rsidRDefault="00E930E7" w:rsidP="00997A0C">
      <w:pPr>
        <w:pStyle w:val="Style"/>
        <w:rPr>
          <w:rFonts w:eastAsia="Calibri"/>
          <w:b/>
        </w:rPr>
        <w:sectPr w:rsidR="00E930E7" w:rsidSect="000467B5">
          <w:footerReference w:type="default" r:id="rId12"/>
          <w:pgSz w:w="12242" w:h="15842" w:code="1"/>
          <w:pgMar w:top="1440" w:right="1440" w:bottom="1152" w:left="1440" w:header="720" w:footer="720" w:gutter="0"/>
          <w:pgNumType w:start="1"/>
          <w:cols w:space="720"/>
          <w:noEndnote/>
          <w:docGrid w:linePitch="360"/>
        </w:sectPr>
      </w:pPr>
    </w:p>
    <w:p w14:paraId="32721481" w14:textId="3453F8BA" w:rsidR="00846080" w:rsidRPr="00997A0C" w:rsidRDefault="003F4DE6" w:rsidP="00997A0C">
      <w:pPr>
        <w:pStyle w:val="Style"/>
        <w:rPr>
          <w:b/>
        </w:rPr>
      </w:pPr>
      <w:r w:rsidRPr="00D12C60">
        <w:rPr>
          <w:rFonts w:eastAsia="Calibri"/>
          <w:b/>
        </w:rPr>
        <w:lastRenderedPageBreak/>
        <w:t>2.1</w:t>
      </w:r>
      <w:r w:rsidRPr="00D12C60">
        <w:rPr>
          <w:rFonts w:eastAsia="Calibri"/>
          <w:b/>
        </w:rPr>
        <w:tab/>
      </w:r>
      <w:r w:rsidR="00846080" w:rsidRPr="00D12C60">
        <w:rPr>
          <w:rFonts w:eastAsia="Calibri"/>
          <w:b/>
        </w:rPr>
        <w:t>Parties to the Exchange</w:t>
      </w:r>
      <w:bookmarkEnd w:id="1"/>
    </w:p>
    <w:p w14:paraId="70A7E67C" w14:textId="77777777" w:rsidR="00997A0C" w:rsidRDefault="00997A0C" w:rsidP="00997A0C">
      <w:pPr>
        <w:rPr>
          <w:rFonts w:eastAsia="Calibri"/>
        </w:rPr>
      </w:pPr>
    </w:p>
    <w:p w14:paraId="2CD7411B" w14:textId="77777777" w:rsidR="00997A0C" w:rsidRDefault="00846080" w:rsidP="00997A0C">
      <w:pPr>
        <w:rPr>
          <w:rFonts w:eastAsia="Calibri"/>
        </w:rPr>
      </w:pPr>
      <w:r w:rsidRPr="00846080">
        <w:rPr>
          <w:rFonts w:eastAsia="Calibri"/>
        </w:rPr>
        <w:t>The non-Federal party to the exchange is:</w:t>
      </w:r>
    </w:p>
    <w:p w14:paraId="0D4979E4" w14:textId="77777777" w:rsidR="00997A0C" w:rsidRDefault="00997A0C" w:rsidP="00997A0C">
      <w:pPr>
        <w:rPr>
          <w:rFonts w:eastAsia="Calibri"/>
        </w:rPr>
      </w:pPr>
    </w:p>
    <w:p w14:paraId="64CD40DC" w14:textId="3D387069" w:rsidR="00997A0C" w:rsidRDefault="00B27EDE" w:rsidP="00997A0C">
      <w:pPr>
        <w:ind w:left="720"/>
        <w:rPr>
          <w:rFonts w:eastAsia="Calibri"/>
        </w:rPr>
      </w:pPr>
      <w:r>
        <w:t xml:space="preserve">Hugh Kelly and Rosemary </w:t>
      </w:r>
      <w:proofErr w:type="spellStart"/>
      <w:r>
        <w:t>McGreer</w:t>
      </w:r>
      <w:proofErr w:type="spellEnd"/>
    </w:p>
    <w:p w14:paraId="0F3F33A1" w14:textId="77777777" w:rsidR="00997A0C" w:rsidRDefault="00D56DA5" w:rsidP="00997A0C">
      <w:pPr>
        <w:ind w:left="720"/>
        <w:rPr>
          <w:rFonts w:eastAsia="Calibri"/>
        </w:rPr>
      </w:pPr>
      <w:r>
        <w:rPr>
          <w:rFonts w:eastAsia="Calibri"/>
        </w:rPr>
        <w:t>P.O. Box 18</w:t>
      </w:r>
    </w:p>
    <w:p w14:paraId="138B22F6" w14:textId="77777777" w:rsidR="00997A0C" w:rsidRDefault="003F4DE6" w:rsidP="00997A0C">
      <w:pPr>
        <w:ind w:left="720"/>
        <w:rPr>
          <w:rFonts w:eastAsia="Calibri"/>
        </w:rPr>
      </w:pPr>
      <w:r>
        <w:rPr>
          <w:rFonts w:eastAsia="Calibri"/>
        </w:rPr>
        <w:t>Antelope, Oregon  97001</w:t>
      </w:r>
    </w:p>
    <w:p w14:paraId="4FDCE737" w14:textId="12DE2E6E" w:rsidR="00997A0C" w:rsidRDefault="00BC2513" w:rsidP="00997A0C">
      <w:pPr>
        <w:ind w:left="720"/>
        <w:rPr>
          <w:rFonts w:eastAsia="Calibri"/>
        </w:rPr>
      </w:pPr>
      <w:r>
        <w:rPr>
          <w:rFonts w:eastAsia="Calibri"/>
        </w:rPr>
        <w:t>E</w:t>
      </w:r>
      <w:r w:rsidR="00846080" w:rsidRPr="00846080">
        <w:rPr>
          <w:rFonts w:eastAsia="Calibri"/>
        </w:rPr>
        <w:t xml:space="preserve">mail:  </w:t>
      </w:r>
      <w:hyperlink r:id="rId13" w:history="1">
        <w:r w:rsidR="00997A0C" w:rsidRPr="00095EB1">
          <w:rPr>
            <w:rStyle w:val="Hyperlink"/>
            <w:rFonts w:eastAsia="Calibri"/>
          </w:rPr>
          <w:t>krmcgreer@gmail.com</w:t>
        </w:r>
      </w:hyperlink>
    </w:p>
    <w:p w14:paraId="32721489" w14:textId="689F0A9C" w:rsidR="00846080" w:rsidRDefault="00846080" w:rsidP="00997A0C">
      <w:pPr>
        <w:ind w:left="720"/>
        <w:rPr>
          <w:rFonts w:eastAsia="Calibri"/>
          <w:color w:val="000000"/>
        </w:rPr>
      </w:pPr>
      <w:r w:rsidRPr="00846080">
        <w:rPr>
          <w:rFonts w:eastAsia="Calibri"/>
          <w:color w:val="000000"/>
        </w:rPr>
        <w:t xml:space="preserve">Phone:  </w:t>
      </w:r>
      <w:r w:rsidR="003F4DE6">
        <w:rPr>
          <w:rFonts w:eastAsia="Calibri"/>
          <w:color w:val="000000"/>
        </w:rPr>
        <w:t>541-489-3</w:t>
      </w:r>
      <w:r w:rsidR="00E0348E">
        <w:rPr>
          <w:rFonts w:eastAsia="Calibri"/>
          <w:color w:val="000000"/>
        </w:rPr>
        <w:t>251</w:t>
      </w:r>
    </w:p>
    <w:p w14:paraId="2C7AC86A" w14:textId="77777777" w:rsidR="00E930E7" w:rsidRPr="00846080" w:rsidRDefault="00E930E7" w:rsidP="00997A0C">
      <w:pPr>
        <w:ind w:left="720"/>
        <w:rPr>
          <w:rFonts w:eastAsia="Calibri"/>
        </w:rPr>
      </w:pPr>
    </w:p>
    <w:p w14:paraId="69C71646" w14:textId="77777777" w:rsidR="00D2768E" w:rsidRDefault="00D2768E" w:rsidP="00846080">
      <w:pPr>
        <w:rPr>
          <w:rFonts w:eastAsia="Calibri"/>
        </w:rPr>
      </w:pPr>
    </w:p>
    <w:p w14:paraId="3272148D" w14:textId="77777777" w:rsidR="00846080" w:rsidRPr="00846080" w:rsidRDefault="00846080" w:rsidP="00846080">
      <w:pPr>
        <w:rPr>
          <w:rFonts w:eastAsia="Calibri"/>
        </w:rPr>
      </w:pPr>
      <w:r w:rsidRPr="00846080">
        <w:rPr>
          <w:rFonts w:eastAsia="Calibri"/>
        </w:rPr>
        <w:t>The BLM office involved is:</w:t>
      </w:r>
    </w:p>
    <w:p w14:paraId="3A49EB88" w14:textId="77777777" w:rsidR="00CB10DD" w:rsidRDefault="00846080" w:rsidP="00997A0C">
      <w:pPr>
        <w:tabs>
          <w:tab w:val="left" w:pos="720"/>
        </w:tabs>
        <w:rPr>
          <w:rFonts w:eastAsia="Calibri"/>
        </w:rPr>
      </w:pPr>
      <w:r w:rsidRPr="00846080">
        <w:rPr>
          <w:rFonts w:eastAsia="Calibri"/>
        </w:rPr>
        <w:tab/>
      </w:r>
    </w:p>
    <w:p w14:paraId="3272148F" w14:textId="537DE673" w:rsidR="00846080" w:rsidRPr="00846080" w:rsidRDefault="00CB10DD" w:rsidP="00D2768E">
      <w:pPr>
        <w:tabs>
          <w:tab w:val="left" w:pos="720"/>
        </w:tabs>
        <w:rPr>
          <w:rFonts w:eastAsia="Calibri"/>
        </w:rPr>
      </w:pPr>
      <w:r>
        <w:rPr>
          <w:rFonts w:eastAsia="Calibri"/>
        </w:rPr>
        <w:tab/>
      </w:r>
      <w:r w:rsidR="00846080">
        <w:rPr>
          <w:rFonts w:eastAsia="Calibri"/>
        </w:rPr>
        <w:t>Prineville</w:t>
      </w:r>
      <w:r w:rsidR="00846080" w:rsidRPr="00846080">
        <w:rPr>
          <w:rFonts w:eastAsia="Calibri"/>
        </w:rPr>
        <w:t xml:space="preserve"> District Office</w:t>
      </w:r>
    </w:p>
    <w:p w14:paraId="32721490" w14:textId="77777777" w:rsidR="00846080" w:rsidRPr="00846080" w:rsidRDefault="00846080" w:rsidP="00846080">
      <w:pPr>
        <w:rPr>
          <w:rFonts w:eastAsia="Calibri"/>
        </w:rPr>
      </w:pPr>
      <w:r w:rsidRPr="00846080">
        <w:rPr>
          <w:rFonts w:eastAsia="Calibri"/>
        </w:rPr>
        <w:tab/>
      </w:r>
      <w:r w:rsidR="002078AE">
        <w:rPr>
          <w:rFonts w:eastAsia="Calibri"/>
        </w:rPr>
        <w:t>Address</w:t>
      </w:r>
      <w:r w:rsidR="003F4DE6">
        <w:rPr>
          <w:rFonts w:eastAsia="Calibri"/>
        </w:rPr>
        <w:t xml:space="preserve"> 3050 NE </w:t>
      </w:r>
      <w:r w:rsidR="00E0348E">
        <w:rPr>
          <w:rFonts w:eastAsia="Calibri"/>
        </w:rPr>
        <w:t xml:space="preserve">Third </w:t>
      </w:r>
      <w:r w:rsidR="003F4DE6">
        <w:rPr>
          <w:rFonts w:eastAsia="Calibri"/>
        </w:rPr>
        <w:t>Street</w:t>
      </w:r>
    </w:p>
    <w:p w14:paraId="32721491" w14:textId="77777777" w:rsidR="00846080" w:rsidRPr="00846080" w:rsidRDefault="00846080" w:rsidP="00846080">
      <w:pPr>
        <w:rPr>
          <w:rFonts w:eastAsia="Calibri"/>
        </w:rPr>
      </w:pPr>
      <w:r w:rsidRPr="00846080">
        <w:rPr>
          <w:rFonts w:eastAsia="Calibri"/>
        </w:rPr>
        <w:tab/>
      </w:r>
      <w:r w:rsidR="003F4DE6">
        <w:rPr>
          <w:rFonts w:eastAsia="Calibri"/>
        </w:rPr>
        <w:t>Prineville, Oregon  97754</w:t>
      </w:r>
    </w:p>
    <w:p w14:paraId="32721492" w14:textId="77777777" w:rsidR="00846080" w:rsidRPr="00846080" w:rsidRDefault="00846080" w:rsidP="00846080">
      <w:pPr>
        <w:rPr>
          <w:rFonts w:eastAsia="Calibri"/>
        </w:rPr>
      </w:pPr>
      <w:r w:rsidRPr="00846080">
        <w:rPr>
          <w:rFonts w:eastAsia="Calibri"/>
        </w:rPr>
        <w:tab/>
      </w:r>
      <w:r>
        <w:rPr>
          <w:rFonts w:eastAsia="Calibri"/>
        </w:rPr>
        <w:t xml:space="preserve">District Manager:  </w:t>
      </w:r>
      <w:r w:rsidR="002078AE">
        <w:rPr>
          <w:rFonts w:eastAsia="Calibri"/>
        </w:rPr>
        <w:t xml:space="preserve">Carol </w:t>
      </w:r>
      <w:proofErr w:type="spellStart"/>
      <w:r w:rsidR="002078AE">
        <w:rPr>
          <w:rFonts w:eastAsia="Calibri"/>
        </w:rPr>
        <w:t>Benkosky</w:t>
      </w:r>
      <w:proofErr w:type="spellEnd"/>
    </w:p>
    <w:p w14:paraId="32721493" w14:textId="12564ADF" w:rsidR="00846080" w:rsidRDefault="00846080" w:rsidP="00846080">
      <w:pPr>
        <w:rPr>
          <w:rFonts w:eastAsia="Calibri"/>
        </w:rPr>
      </w:pPr>
      <w:r w:rsidRPr="00846080">
        <w:rPr>
          <w:rFonts w:eastAsia="Calibri"/>
        </w:rPr>
        <w:tab/>
        <w:t xml:space="preserve">Phone:  </w:t>
      </w:r>
      <w:r w:rsidR="003E7F96">
        <w:rPr>
          <w:rFonts w:eastAsia="Calibri"/>
        </w:rPr>
        <w:t>541-416-673</w:t>
      </w:r>
      <w:r w:rsidR="003F4DE6">
        <w:rPr>
          <w:rFonts w:eastAsia="Calibri"/>
        </w:rPr>
        <w:t>0</w:t>
      </w:r>
    </w:p>
    <w:p w14:paraId="7442098C" w14:textId="77777777" w:rsidR="00997A0C" w:rsidRDefault="00997A0C" w:rsidP="00846080">
      <w:pPr>
        <w:rPr>
          <w:rFonts w:eastAsia="Calibri"/>
        </w:rPr>
      </w:pPr>
    </w:p>
    <w:p w14:paraId="0425780A" w14:textId="77777777" w:rsidR="00E930E7" w:rsidRDefault="00E930E7" w:rsidP="00F422CF">
      <w:pPr>
        <w:rPr>
          <w:b/>
        </w:rPr>
        <w:sectPr w:rsidR="00E930E7" w:rsidSect="00E930E7">
          <w:type w:val="continuous"/>
          <w:pgSz w:w="12242" w:h="15842" w:code="1"/>
          <w:pgMar w:top="1440" w:right="1440" w:bottom="1152" w:left="1440" w:header="720" w:footer="720" w:gutter="0"/>
          <w:pgNumType w:start="1"/>
          <w:cols w:num="2" w:space="720"/>
          <w:noEndnote/>
          <w:docGrid w:linePitch="360"/>
        </w:sectPr>
      </w:pPr>
    </w:p>
    <w:p w14:paraId="327214A1" w14:textId="1C084400" w:rsidR="00F422CF" w:rsidRPr="00BC2513" w:rsidRDefault="00F422CF" w:rsidP="00F422CF">
      <w:pPr>
        <w:rPr>
          <w:b/>
        </w:rPr>
      </w:pPr>
      <w:r w:rsidRPr="00BC2513">
        <w:rPr>
          <w:b/>
        </w:rPr>
        <w:lastRenderedPageBreak/>
        <w:t>2.</w:t>
      </w:r>
      <w:r w:rsidR="003F4DE6" w:rsidRPr="00BC2513">
        <w:rPr>
          <w:b/>
        </w:rPr>
        <w:t>2</w:t>
      </w:r>
      <w:r w:rsidRPr="00BC2513">
        <w:rPr>
          <w:b/>
        </w:rPr>
        <w:tab/>
        <w:t xml:space="preserve">Federal </w:t>
      </w:r>
      <w:r w:rsidR="00776168" w:rsidRPr="00BC2513">
        <w:rPr>
          <w:b/>
        </w:rPr>
        <w:t>Land</w:t>
      </w:r>
    </w:p>
    <w:p w14:paraId="327214A2" w14:textId="77777777" w:rsidR="00F422CF" w:rsidRDefault="00F422CF" w:rsidP="00F422CF"/>
    <w:p w14:paraId="327214A3" w14:textId="6F928F54" w:rsidR="00DB6E96" w:rsidRDefault="00F422CF" w:rsidP="00DB6E96">
      <w:pPr>
        <w:autoSpaceDE w:val="0"/>
        <w:autoSpaceDN w:val="0"/>
        <w:adjustRightInd w:val="0"/>
      </w:pPr>
      <w:r>
        <w:t>The United States would</w:t>
      </w:r>
      <w:r w:rsidRPr="00A82E5E">
        <w:t xml:space="preserve"> convey to </w:t>
      </w:r>
      <w:r w:rsidR="00B27EDE">
        <w:t xml:space="preserve">Hugh Kelly and Rosemary </w:t>
      </w:r>
      <w:proofErr w:type="spellStart"/>
      <w:r w:rsidR="00B27EDE">
        <w:t>McGreer</w:t>
      </w:r>
      <w:proofErr w:type="spellEnd"/>
      <w:r w:rsidR="00B27EDE">
        <w:t xml:space="preserve"> </w:t>
      </w:r>
      <w:r>
        <w:t>the surface and mineral estates of a single</w:t>
      </w:r>
      <w:r w:rsidR="003E2B79">
        <w:t>,</w:t>
      </w:r>
      <w:r>
        <w:t xml:space="preserve"> </w:t>
      </w:r>
      <w:r w:rsidRPr="00C92178">
        <w:rPr>
          <w:rFonts w:cstheme="minorHAnsi"/>
        </w:rPr>
        <w:t>344.31</w:t>
      </w:r>
      <w:r>
        <w:rPr>
          <w:rFonts w:cstheme="minorHAnsi"/>
        </w:rPr>
        <w:t>-</w:t>
      </w:r>
      <w:r w:rsidRPr="00C92178">
        <w:rPr>
          <w:rFonts w:cstheme="minorHAnsi"/>
        </w:rPr>
        <w:t>a</w:t>
      </w:r>
      <w:r>
        <w:rPr>
          <w:rFonts w:cstheme="minorHAnsi"/>
        </w:rPr>
        <w:t xml:space="preserve">cre parcel of </w:t>
      </w:r>
      <w:r w:rsidRPr="00A82E5E">
        <w:t>Federal land</w:t>
      </w:r>
      <w:r>
        <w:t>,</w:t>
      </w:r>
      <w:r w:rsidRPr="00A82E5E">
        <w:t xml:space="preserve"> described in the attached Exhibit A, subject only to the exceptions set forth.</w:t>
      </w:r>
      <w:r>
        <w:t xml:space="preserve">  </w:t>
      </w:r>
      <w:r w:rsidRPr="00C24FDF">
        <w:rPr>
          <w:rFonts w:cstheme="minorHAnsi"/>
        </w:rPr>
        <w:t>The Federal land</w:t>
      </w:r>
      <w:r>
        <w:rPr>
          <w:rFonts w:cstheme="minorHAnsi"/>
        </w:rPr>
        <w:t xml:space="preserve"> i</w:t>
      </w:r>
      <w:r w:rsidRPr="00C24FDF">
        <w:rPr>
          <w:rFonts w:cstheme="minorHAnsi"/>
        </w:rPr>
        <w:t xml:space="preserve">s </w:t>
      </w:r>
      <w:r w:rsidR="0037474E">
        <w:rPr>
          <w:rFonts w:cstheme="minorHAnsi"/>
        </w:rPr>
        <w:t xml:space="preserve">on the </w:t>
      </w:r>
      <w:r w:rsidR="00F676BC">
        <w:rPr>
          <w:rFonts w:cstheme="minorHAnsi"/>
        </w:rPr>
        <w:t>edge</w:t>
      </w:r>
      <w:r w:rsidR="0037474E">
        <w:rPr>
          <w:rFonts w:cstheme="minorHAnsi"/>
        </w:rPr>
        <w:t xml:space="preserve"> of a large Federal parcel</w:t>
      </w:r>
      <w:r w:rsidR="00776168">
        <w:rPr>
          <w:rFonts w:cstheme="minorHAnsi"/>
        </w:rPr>
        <w:t>.</w:t>
      </w:r>
      <w:r w:rsidR="00B53868">
        <w:rPr>
          <w:rFonts w:cstheme="minorHAnsi"/>
        </w:rPr>
        <w:t xml:space="preserve"> </w:t>
      </w:r>
      <w:r w:rsidR="00776168">
        <w:rPr>
          <w:rFonts w:cstheme="minorHAnsi"/>
        </w:rPr>
        <w:t xml:space="preserve"> It lies</w:t>
      </w:r>
      <w:r w:rsidR="00F676BC">
        <w:rPr>
          <w:rFonts w:cstheme="minorHAnsi"/>
        </w:rPr>
        <w:t xml:space="preserve"> </w:t>
      </w:r>
      <w:r>
        <w:rPr>
          <w:rFonts w:cstheme="minorHAnsi"/>
        </w:rPr>
        <w:t xml:space="preserve">adjacent to the </w:t>
      </w:r>
      <w:proofErr w:type="spellStart"/>
      <w:r>
        <w:rPr>
          <w:rFonts w:cstheme="minorHAnsi"/>
        </w:rPr>
        <w:t>McGreer</w:t>
      </w:r>
      <w:proofErr w:type="spellEnd"/>
      <w:r>
        <w:rPr>
          <w:rFonts w:cstheme="minorHAnsi"/>
        </w:rPr>
        <w:t xml:space="preserve"> farm on the west side of the </w:t>
      </w:r>
      <w:r w:rsidR="00FB12AB">
        <w:rPr>
          <w:rFonts w:cstheme="minorHAnsi"/>
        </w:rPr>
        <w:t>John Day R</w:t>
      </w:r>
      <w:r>
        <w:rPr>
          <w:rFonts w:cstheme="minorHAnsi"/>
        </w:rPr>
        <w:t>iver in Wasco County</w:t>
      </w:r>
      <w:r w:rsidRPr="00C24FDF">
        <w:rPr>
          <w:rFonts w:cstheme="minorHAnsi"/>
        </w:rPr>
        <w:t xml:space="preserve">.  </w:t>
      </w:r>
      <w:r>
        <w:rPr>
          <w:rFonts w:cstheme="minorHAnsi"/>
        </w:rPr>
        <w:t>This land is predominantly rangelan</w:t>
      </w:r>
      <w:r w:rsidR="00DB6E96">
        <w:rPr>
          <w:rFonts w:cstheme="minorHAnsi"/>
        </w:rPr>
        <w:t>d</w:t>
      </w:r>
      <w:r w:rsidR="00ED437F">
        <w:rPr>
          <w:rFonts w:cstheme="minorHAnsi"/>
        </w:rPr>
        <w:t>,</w:t>
      </w:r>
      <w:r w:rsidR="00DB6E96">
        <w:rPr>
          <w:rFonts w:cstheme="minorHAnsi"/>
        </w:rPr>
        <w:t xml:space="preserve"> with the exception </w:t>
      </w:r>
      <w:r w:rsidR="00DB6E96" w:rsidRPr="004F0C97">
        <w:rPr>
          <w:rFonts w:cstheme="minorHAnsi"/>
        </w:rPr>
        <w:t xml:space="preserve">of </w:t>
      </w:r>
      <w:r w:rsidR="004F0C97" w:rsidRPr="004F0C97">
        <w:rPr>
          <w:rFonts w:cstheme="minorHAnsi"/>
        </w:rPr>
        <w:t>15.</w:t>
      </w:r>
      <w:r w:rsidR="00DB6E96" w:rsidRPr="004F0C97">
        <w:rPr>
          <w:rFonts w:cstheme="minorHAnsi"/>
        </w:rPr>
        <w:t>7</w:t>
      </w:r>
      <w:r w:rsidRPr="004F0C97">
        <w:rPr>
          <w:rFonts w:cstheme="minorHAnsi"/>
        </w:rPr>
        <w:t xml:space="preserve"> </w:t>
      </w:r>
      <w:r w:rsidR="008F5E62">
        <w:rPr>
          <w:rFonts w:cstheme="minorHAnsi"/>
        </w:rPr>
        <w:t xml:space="preserve">irrigated </w:t>
      </w:r>
      <w:r w:rsidRPr="004F0C97">
        <w:rPr>
          <w:rFonts w:cstheme="minorHAnsi"/>
        </w:rPr>
        <w:t>acres</w:t>
      </w:r>
      <w:r>
        <w:rPr>
          <w:rFonts w:cstheme="minorHAnsi"/>
        </w:rPr>
        <w:t xml:space="preserve"> along the north and south boundary</w:t>
      </w:r>
      <w:r w:rsidR="000B2559">
        <w:rPr>
          <w:rFonts w:cstheme="minorHAnsi"/>
        </w:rPr>
        <w:t xml:space="preserve"> of the Federal parcel that are cultivated</w:t>
      </w:r>
      <w:r w:rsidR="008F5E62">
        <w:rPr>
          <w:rFonts w:cstheme="minorHAnsi"/>
        </w:rPr>
        <w:t>.</w:t>
      </w:r>
      <w:r w:rsidR="00E0348E">
        <w:rPr>
          <w:rFonts w:cstheme="minorHAnsi"/>
        </w:rPr>
        <w:t xml:space="preserve">  </w:t>
      </w:r>
      <w:r w:rsidR="00BD0AB6" w:rsidRPr="00BD0AB6">
        <w:rPr>
          <w:rFonts w:cstheme="minorHAnsi"/>
        </w:rPr>
        <w:t>The Federal land has no river frontage and no legal access</w:t>
      </w:r>
      <w:r w:rsidR="003E7F96">
        <w:rPr>
          <w:rFonts w:cstheme="minorHAnsi"/>
        </w:rPr>
        <w:t>.  Approximately</w:t>
      </w:r>
      <w:r w:rsidR="00DB6E96" w:rsidRPr="00DD3C29">
        <w:t xml:space="preserve"> </w:t>
      </w:r>
      <w:r w:rsidR="00DB6E96">
        <w:t>37.8</w:t>
      </w:r>
      <w:r w:rsidR="00DB6E96" w:rsidRPr="00DD3C29">
        <w:t xml:space="preserve"> acres of </w:t>
      </w:r>
      <w:r w:rsidR="00DB6E96">
        <w:t xml:space="preserve">the </w:t>
      </w:r>
      <w:r w:rsidR="00DB6E96" w:rsidRPr="00DD3C29">
        <w:t xml:space="preserve">Federal land </w:t>
      </w:r>
      <w:r w:rsidR="00DB6E96">
        <w:t>are</w:t>
      </w:r>
      <w:r w:rsidR="00DB6E96" w:rsidRPr="00DD3C29">
        <w:t xml:space="preserve"> </w:t>
      </w:r>
      <w:r w:rsidR="00776168">
        <w:t xml:space="preserve">located </w:t>
      </w:r>
      <w:r w:rsidR="00DB6E96" w:rsidRPr="00DD3C29">
        <w:t xml:space="preserve">within the </w:t>
      </w:r>
      <w:r w:rsidR="00FF777E">
        <w:t xml:space="preserve">John Day </w:t>
      </w:r>
      <w:r w:rsidR="00DB6E96" w:rsidRPr="00DD3C29">
        <w:t xml:space="preserve">WSR </w:t>
      </w:r>
      <w:r w:rsidR="00B65FC8">
        <w:t>corridor.</w:t>
      </w:r>
    </w:p>
    <w:p w14:paraId="5628AD17" w14:textId="77777777" w:rsidR="008F5E62" w:rsidRDefault="008F5E62" w:rsidP="00CD4223">
      <w:pPr>
        <w:rPr>
          <w:b/>
          <w:color w:val="000000"/>
        </w:rPr>
      </w:pPr>
    </w:p>
    <w:p w14:paraId="327214A5" w14:textId="5C076B93" w:rsidR="0001649B" w:rsidRPr="00BC2513" w:rsidRDefault="004475AF" w:rsidP="00CD4223">
      <w:pPr>
        <w:rPr>
          <w:b/>
          <w:color w:val="000000"/>
        </w:rPr>
      </w:pPr>
      <w:r w:rsidRPr="00BC2513">
        <w:rPr>
          <w:b/>
          <w:color w:val="000000"/>
        </w:rPr>
        <w:t>2</w:t>
      </w:r>
      <w:r w:rsidR="00F422CF" w:rsidRPr="00BC2513">
        <w:rPr>
          <w:b/>
          <w:color w:val="000000"/>
        </w:rPr>
        <w:t>.</w:t>
      </w:r>
      <w:r w:rsidR="001E0635" w:rsidRPr="00BC2513">
        <w:rPr>
          <w:b/>
          <w:color w:val="000000"/>
        </w:rPr>
        <w:t>3</w:t>
      </w:r>
      <w:r w:rsidR="0001649B" w:rsidRPr="00BC2513">
        <w:rPr>
          <w:b/>
          <w:color w:val="000000"/>
        </w:rPr>
        <w:tab/>
        <w:t xml:space="preserve">Non-Federal </w:t>
      </w:r>
      <w:r w:rsidR="00776168" w:rsidRPr="00BC2513">
        <w:rPr>
          <w:b/>
          <w:color w:val="000000"/>
        </w:rPr>
        <w:t>Land</w:t>
      </w:r>
      <w:r w:rsidR="003F4DE6" w:rsidRPr="00BC2513">
        <w:rPr>
          <w:b/>
          <w:color w:val="000000"/>
        </w:rPr>
        <w:t>s</w:t>
      </w:r>
    </w:p>
    <w:p w14:paraId="327214A6" w14:textId="5FC62543" w:rsidR="0001649B" w:rsidRDefault="00B27EDE" w:rsidP="00CD4223">
      <w:pPr>
        <w:rPr>
          <w:color w:val="000000"/>
        </w:rPr>
      </w:pPr>
      <w:r>
        <w:rPr>
          <w:color w:val="000000"/>
        </w:rPr>
        <w:t xml:space="preserve"> </w:t>
      </w:r>
    </w:p>
    <w:p w14:paraId="7643A3CD" w14:textId="4176BB5A" w:rsidR="003E7F96" w:rsidRPr="003E7F96" w:rsidRDefault="00B27EDE" w:rsidP="003E7F96">
      <w:r>
        <w:t xml:space="preserve">Hugh Kelly and Rosemary </w:t>
      </w:r>
      <w:proofErr w:type="spellStart"/>
      <w:r>
        <w:t>McGreer</w:t>
      </w:r>
      <w:proofErr w:type="spellEnd"/>
      <w:r>
        <w:t xml:space="preserve"> </w:t>
      </w:r>
      <w:r w:rsidR="00801E2A" w:rsidRPr="00801E2A">
        <w:rPr>
          <w:color w:val="000000"/>
        </w:rPr>
        <w:t xml:space="preserve">would convey to the United States </w:t>
      </w:r>
      <w:r w:rsidR="00B65FC8">
        <w:rPr>
          <w:color w:val="000000"/>
        </w:rPr>
        <w:t>1</w:t>
      </w:r>
      <w:r w:rsidR="0015150D">
        <w:rPr>
          <w:color w:val="000000"/>
        </w:rPr>
        <w:t>5</w:t>
      </w:r>
      <w:r w:rsidR="00801E2A">
        <w:rPr>
          <w:color w:val="000000"/>
        </w:rPr>
        <w:t>.</w:t>
      </w:r>
      <w:r w:rsidR="0015150D">
        <w:rPr>
          <w:color w:val="000000"/>
        </w:rPr>
        <w:t>43</w:t>
      </w:r>
      <w:r w:rsidR="00801E2A">
        <w:rPr>
          <w:color w:val="000000"/>
        </w:rPr>
        <w:t xml:space="preserve"> acres of</w:t>
      </w:r>
      <w:r w:rsidR="00801E2A" w:rsidRPr="00801E2A">
        <w:rPr>
          <w:color w:val="000000"/>
        </w:rPr>
        <w:t xml:space="preserve"> surface and mineral estate, as described in the attached Exhibit A, subject only to the reservations and exceptions of record as shown on a preliminary title report and </w:t>
      </w:r>
      <w:r w:rsidR="00ED437F">
        <w:rPr>
          <w:color w:val="000000"/>
        </w:rPr>
        <w:t xml:space="preserve">subsequently </w:t>
      </w:r>
      <w:r w:rsidR="00801E2A" w:rsidRPr="00801E2A">
        <w:rPr>
          <w:color w:val="000000"/>
        </w:rPr>
        <w:t>approved by the Department of the Interior Regional Solicitor.</w:t>
      </w:r>
      <w:r w:rsidR="003E7F96">
        <w:rPr>
          <w:color w:val="000000"/>
        </w:rPr>
        <w:t xml:space="preserve">  </w:t>
      </w:r>
      <w:r>
        <w:t xml:space="preserve">Hugh Kelly and Rosemary </w:t>
      </w:r>
      <w:proofErr w:type="spellStart"/>
      <w:r>
        <w:t>McGreer</w:t>
      </w:r>
      <w:proofErr w:type="spellEnd"/>
      <w:r>
        <w:t xml:space="preserve"> </w:t>
      </w:r>
      <w:r w:rsidR="00FE542D">
        <w:t xml:space="preserve">will </w:t>
      </w:r>
      <w:r w:rsidR="000B2559">
        <w:rPr>
          <w:color w:val="000000"/>
        </w:rPr>
        <w:t xml:space="preserve">provide a Preliminary </w:t>
      </w:r>
      <w:r w:rsidR="003E2B79">
        <w:rPr>
          <w:color w:val="000000"/>
        </w:rPr>
        <w:t>T</w:t>
      </w:r>
      <w:r w:rsidR="000B2559">
        <w:rPr>
          <w:color w:val="000000"/>
        </w:rPr>
        <w:t xml:space="preserve">itle Report and </w:t>
      </w:r>
      <w:r w:rsidR="003E7F96" w:rsidRPr="003E7F96">
        <w:t>certif</w:t>
      </w:r>
      <w:r w:rsidR="000B2559">
        <w:t>y</w:t>
      </w:r>
      <w:r w:rsidR="003E7F96" w:rsidRPr="003E7F96">
        <w:t xml:space="preserve"> </w:t>
      </w:r>
      <w:r w:rsidR="000B2559">
        <w:t xml:space="preserve">that </w:t>
      </w:r>
      <w:r w:rsidR="003E7F96" w:rsidRPr="003E7F96">
        <w:t>they have legal fee ownership of th</w:t>
      </w:r>
      <w:r w:rsidR="000B2559">
        <w:t>e non-Federal land</w:t>
      </w:r>
      <w:r w:rsidR="003E7F96" w:rsidRPr="003E7F96">
        <w:t xml:space="preserve">.  </w:t>
      </w:r>
    </w:p>
    <w:p w14:paraId="327214A7" w14:textId="77777777" w:rsidR="00683E44" w:rsidRDefault="00683E44" w:rsidP="00CD4223"/>
    <w:p w14:paraId="327214A9" w14:textId="41D03CA2" w:rsidR="00F002FC" w:rsidRDefault="003C7FF9" w:rsidP="00047631">
      <w:pPr>
        <w:autoSpaceDE w:val="0"/>
        <w:autoSpaceDN w:val="0"/>
        <w:adjustRightInd w:val="0"/>
        <w:rPr>
          <w:rFonts w:cstheme="minorHAnsi"/>
          <w:color w:val="000000"/>
        </w:rPr>
      </w:pPr>
      <w:r>
        <w:rPr>
          <w:rFonts w:cstheme="minorHAnsi"/>
        </w:rPr>
        <w:t>T</w:t>
      </w:r>
      <w:r w:rsidRPr="00C24FDF">
        <w:rPr>
          <w:rFonts w:cstheme="minorHAnsi"/>
        </w:rPr>
        <w:t xml:space="preserve">he </w:t>
      </w:r>
      <w:r>
        <w:t>non-Federal</w:t>
      </w:r>
      <w:r w:rsidRPr="00A82E5E">
        <w:t xml:space="preserve"> </w:t>
      </w:r>
      <w:r>
        <w:t xml:space="preserve">land </w:t>
      </w:r>
      <w:r w:rsidR="0015150D">
        <w:t xml:space="preserve">is </w:t>
      </w:r>
      <w:r>
        <w:t xml:space="preserve">comprised </w:t>
      </w:r>
      <w:r w:rsidR="00295DD0">
        <w:t>of</w:t>
      </w:r>
      <w:r w:rsidR="0015150D">
        <w:t xml:space="preserve"> a single t</w:t>
      </w:r>
      <w:r>
        <w:t>ax lot (</w:t>
      </w:r>
      <w:r w:rsidR="00CE037E">
        <w:t>T</w:t>
      </w:r>
      <w:r>
        <w:t xml:space="preserve">ax </w:t>
      </w:r>
      <w:r w:rsidR="00CE037E">
        <w:t>L</w:t>
      </w:r>
      <w:r>
        <w:t xml:space="preserve">ot 902) situated along the east bank of the </w:t>
      </w:r>
      <w:r w:rsidR="00CE037E">
        <w:t>m</w:t>
      </w:r>
      <w:r w:rsidR="0015150D">
        <w:t xml:space="preserve">iddle </w:t>
      </w:r>
      <w:r w:rsidR="00CE037E">
        <w:t>s</w:t>
      </w:r>
      <w:r w:rsidR="0015150D">
        <w:t xml:space="preserve">egment of the </w:t>
      </w:r>
      <w:r>
        <w:t xml:space="preserve">John Day </w:t>
      </w:r>
      <w:r w:rsidR="0015150D">
        <w:t>W</w:t>
      </w:r>
      <w:r w:rsidR="007629C4">
        <w:t>SR</w:t>
      </w:r>
      <w:r>
        <w:t xml:space="preserve"> in Wheeler County, Oregon.  </w:t>
      </w:r>
      <w:r w:rsidR="00B27EDE">
        <w:t xml:space="preserve">Hugh Kelly and Rosemary </w:t>
      </w:r>
      <w:proofErr w:type="spellStart"/>
      <w:r w:rsidR="00B27EDE">
        <w:t>McGreer</w:t>
      </w:r>
      <w:proofErr w:type="spellEnd"/>
      <w:r w:rsidR="00B27EDE">
        <w:t xml:space="preserve"> </w:t>
      </w:r>
      <w:r w:rsidR="008F5E62" w:rsidRPr="008F5E62">
        <w:t xml:space="preserve">acquired </w:t>
      </w:r>
      <w:r>
        <w:rPr>
          <w:rFonts w:cstheme="minorHAnsi"/>
        </w:rPr>
        <w:t>T</w:t>
      </w:r>
      <w:r w:rsidRPr="00364A60">
        <w:rPr>
          <w:rFonts w:cstheme="minorHAnsi"/>
          <w:color w:val="000000"/>
        </w:rPr>
        <w:t xml:space="preserve">ax </w:t>
      </w:r>
      <w:r w:rsidR="00CE037E">
        <w:rPr>
          <w:rFonts w:cstheme="minorHAnsi"/>
          <w:color w:val="000000"/>
        </w:rPr>
        <w:t>L</w:t>
      </w:r>
      <w:r w:rsidRPr="00364A60">
        <w:rPr>
          <w:rFonts w:cstheme="minorHAnsi"/>
          <w:color w:val="000000"/>
        </w:rPr>
        <w:t xml:space="preserve">ot </w:t>
      </w:r>
      <w:r>
        <w:rPr>
          <w:rFonts w:cstheme="minorHAnsi"/>
          <w:color w:val="000000"/>
        </w:rPr>
        <w:t>902 for purposes of th</w:t>
      </w:r>
      <w:r w:rsidR="0015150D">
        <w:rPr>
          <w:rFonts w:cstheme="minorHAnsi"/>
          <w:color w:val="000000"/>
        </w:rPr>
        <w:t>is</w:t>
      </w:r>
      <w:r w:rsidR="00DC10C1">
        <w:rPr>
          <w:rFonts w:cstheme="minorHAnsi"/>
          <w:color w:val="000000"/>
        </w:rPr>
        <w:t xml:space="preserve"> exchange.  </w:t>
      </w:r>
    </w:p>
    <w:p w14:paraId="756A9EE5" w14:textId="77777777" w:rsidR="008C0DC5" w:rsidRDefault="008C0DC5" w:rsidP="00047631">
      <w:pPr>
        <w:autoSpaceDE w:val="0"/>
        <w:autoSpaceDN w:val="0"/>
        <w:adjustRightInd w:val="0"/>
        <w:rPr>
          <w:rFonts w:cstheme="minorHAnsi"/>
          <w:color w:val="000000"/>
        </w:rPr>
      </w:pPr>
    </w:p>
    <w:p w14:paraId="327214AB" w14:textId="2FA47E54" w:rsidR="00047631" w:rsidRDefault="00CB033B" w:rsidP="00047631">
      <w:pPr>
        <w:autoSpaceDE w:val="0"/>
        <w:autoSpaceDN w:val="0"/>
        <w:adjustRightInd w:val="0"/>
        <w:rPr>
          <w:rFonts w:cstheme="minorHAnsi"/>
          <w:color w:val="000000"/>
        </w:rPr>
      </w:pPr>
      <w:r>
        <w:rPr>
          <w:rFonts w:cstheme="minorHAnsi"/>
          <w:color w:val="000000"/>
        </w:rPr>
        <w:lastRenderedPageBreak/>
        <w:t>T</w:t>
      </w:r>
      <w:r w:rsidR="00F002FC">
        <w:rPr>
          <w:rFonts w:cstheme="minorHAnsi"/>
          <w:color w:val="000000"/>
        </w:rPr>
        <w:t xml:space="preserve">he wilderness area boundary in this immediate vicinity coincides with the east property line of the </w:t>
      </w:r>
      <w:r w:rsidR="001167CD">
        <w:rPr>
          <w:rFonts w:cstheme="minorHAnsi"/>
          <w:color w:val="000000"/>
        </w:rPr>
        <w:t>non-Federal land</w:t>
      </w:r>
      <w:r w:rsidR="00F002FC">
        <w:rPr>
          <w:rFonts w:cstheme="minorHAnsi"/>
          <w:color w:val="000000"/>
        </w:rPr>
        <w:t xml:space="preserve">.  </w:t>
      </w:r>
      <w:r w:rsidR="001167CD">
        <w:rPr>
          <w:rFonts w:cstheme="minorHAnsi"/>
          <w:color w:val="000000"/>
        </w:rPr>
        <w:t xml:space="preserve">This acquisition will extend </w:t>
      </w:r>
      <w:r w:rsidR="00F002FC">
        <w:rPr>
          <w:rFonts w:cstheme="minorHAnsi"/>
          <w:color w:val="000000"/>
        </w:rPr>
        <w:t>the wilderness boundary west to the</w:t>
      </w:r>
      <w:r w:rsidR="009D6C99">
        <w:rPr>
          <w:rFonts w:cstheme="minorHAnsi"/>
          <w:color w:val="000000"/>
        </w:rPr>
        <w:t xml:space="preserve"> east right-of-way line of the </w:t>
      </w:r>
      <w:r w:rsidR="00F002FC">
        <w:rPr>
          <w:rFonts w:cstheme="minorHAnsi"/>
          <w:color w:val="000000"/>
        </w:rPr>
        <w:t>existing transmission line easement</w:t>
      </w:r>
      <w:r w:rsidR="001167CD">
        <w:rPr>
          <w:rFonts w:cstheme="minorHAnsi"/>
          <w:color w:val="000000"/>
        </w:rPr>
        <w:t xml:space="preserve"> and add a </w:t>
      </w:r>
      <w:r w:rsidR="009D6C99">
        <w:rPr>
          <w:rFonts w:cstheme="minorHAnsi"/>
          <w:color w:val="000000"/>
        </w:rPr>
        <w:t xml:space="preserve">portion of </w:t>
      </w:r>
      <w:r w:rsidR="001167CD">
        <w:rPr>
          <w:rFonts w:cstheme="minorHAnsi"/>
          <w:color w:val="000000"/>
        </w:rPr>
        <w:t xml:space="preserve">the non-Federal land </w:t>
      </w:r>
      <w:r w:rsidR="00F002FC">
        <w:rPr>
          <w:rFonts w:cstheme="minorHAnsi"/>
          <w:color w:val="000000"/>
        </w:rPr>
        <w:t>to the SB</w:t>
      </w:r>
      <w:r w:rsidR="004E6FE1">
        <w:rPr>
          <w:rFonts w:cstheme="minorHAnsi"/>
          <w:color w:val="000000"/>
        </w:rPr>
        <w:t>W</w:t>
      </w:r>
      <w:r w:rsidR="00F002FC">
        <w:rPr>
          <w:rFonts w:cstheme="minorHAnsi"/>
          <w:color w:val="000000"/>
        </w:rPr>
        <w:t>A.</w:t>
      </w:r>
    </w:p>
    <w:p w14:paraId="24752C48" w14:textId="77777777" w:rsidR="00997A0C" w:rsidRDefault="00997A0C" w:rsidP="00047631">
      <w:pPr>
        <w:autoSpaceDE w:val="0"/>
        <w:autoSpaceDN w:val="0"/>
        <w:adjustRightInd w:val="0"/>
        <w:rPr>
          <w:rFonts w:cstheme="minorHAnsi"/>
          <w:color w:val="000000"/>
        </w:rPr>
      </w:pPr>
    </w:p>
    <w:p w14:paraId="327214AD" w14:textId="1EBDFB82" w:rsidR="00D87A9B" w:rsidRPr="00BC2513" w:rsidRDefault="00D87A9B" w:rsidP="00374464">
      <w:pPr>
        <w:pStyle w:val="Style"/>
        <w:numPr>
          <w:ilvl w:val="0"/>
          <w:numId w:val="10"/>
        </w:numPr>
        <w:tabs>
          <w:tab w:val="left" w:pos="720"/>
        </w:tabs>
        <w:ind w:right="43" w:hanging="1080"/>
        <w:rPr>
          <w:b/>
        </w:rPr>
      </w:pPr>
      <w:r w:rsidRPr="00BC2513">
        <w:rPr>
          <w:b/>
        </w:rPr>
        <w:t>PUBLIC BENEFITS</w:t>
      </w:r>
    </w:p>
    <w:p w14:paraId="327214AE" w14:textId="77777777" w:rsidR="00D87A9B" w:rsidRPr="001F6E34" w:rsidRDefault="00D87A9B" w:rsidP="00D87A9B">
      <w:pPr>
        <w:pStyle w:val="Style"/>
        <w:ind w:right="43"/>
        <w:rPr>
          <w:u w:val="single"/>
        </w:rPr>
      </w:pPr>
    </w:p>
    <w:p w14:paraId="327214AF" w14:textId="55F208BD" w:rsidR="00F02DFD" w:rsidRPr="00F02DFD" w:rsidRDefault="00F02DFD" w:rsidP="00F02DFD">
      <w:pPr>
        <w:autoSpaceDE w:val="0"/>
        <w:autoSpaceDN w:val="0"/>
        <w:adjustRightInd w:val="0"/>
        <w:spacing w:line="240" w:lineRule="atLeast"/>
        <w:rPr>
          <w:rFonts w:cstheme="minorHAnsi"/>
        </w:rPr>
      </w:pPr>
      <w:r w:rsidRPr="00F02DFD">
        <w:rPr>
          <w:rFonts w:cstheme="minorHAnsi"/>
        </w:rPr>
        <w:t xml:space="preserve">The </w:t>
      </w:r>
      <w:r>
        <w:rPr>
          <w:rFonts w:cstheme="minorHAnsi"/>
        </w:rPr>
        <w:t xml:space="preserve">public </w:t>
      </w:r>
      <w:r w:rsidR="00DC10C1">
        <w:rPr>
          <w:rFonts w:cstheme="minorHAnsi"/>
        </w:rPr>
        <w:t>benefits of the land exchange</w:t>
      </w:r>
      <w:r w:rsidR="00B65FC8">
        <w:rPr>
          <w:rFonts w:cstheme="minorHAnsi"/>
        </w:rPr>
        <w:t xml:space="preserve"> </w:t>
      </w:r>
      <w:r w:rsidRPr="00F02DFD">
        <w:rPr>
          <w:rFonts w:cstheme="minorHAnsi"/>
        </w:rPr>
        <w:t xml:space="preserve">include the following:  </w:t>
      </w:r>
    </w:p>
    <w:p w14:paraId="327214B0" w14:textId="77777777" w:rsidR="00F02DFD" w:rsidRDefault="00F02DFD" w:rsidP="006416EA">
      <w:pPr>
        <w:autoSpaceDE w:val="0"/>
        <w:autoSpaceDN w:val="0"/>
        <w:adjustRightInd w:val="0"/>
        <w:spacing w:line="240" w:lineRule="atLeast"/>
        <w:rPr>
          <w:rFonts w:cstheme="minorHAnsi"/>
        </w:rPr>
      </w:pPr>
    </w:p>
    <w:p w14:paraId="327214B1" w14:textId="11E16A50" w:rsidR="006416EA" w:rsidRPr="0079300E" w:rsidRDefault="00BF6431" w:rsidP="003E2B79">
      <w:pPr>
        <w:pStyle w:val="ListParagraph"/>
        <w:numPr>
          <w:ilvl w:val="0"/>
          <w:numId w:val="28"/>
        </w:numPr>
        <w:autoSpaceDE w:val="0"/>
        <w:autoSpaceDN w:val="0"/>
        <w:adjustRightInd w:val="0"/>
        <w:spacing w:line="240" w:lineRule="atLeast"/>
        <w:ind w:left="1080"/>
        <w:rPr>
          <w:rFonts w:cstheme="minorHAnsi"/>
          <w:color w:val="000000"/>
        </w:rPr>
      </w:pPr>
      <w:proofErr w:type="gramStart"/>
      <w:r w:rsidRPr="0079300E">
        <w:rPr>
          <w:rFonts w:cstheme="minorHAnsi"/>
        </w:rPr>
        <w:t xml:space="preserve">Acquisition </w:t>
      </w:r>
      <w:r w:rsidR="00D43507">
        <w:rPr>
          <w:rFonts w:cstheme="minorHAnsi"/>
        </w:rPr>
        <w:t xml:space="preserve">of </w:t>
      </w:r>
      <w:r w:rsidR="00D43507" w:rsidRPr="00D43507">
        <w:rPr>
          <w:rFonts w:cstheme="minorHAnsi"/>
        </w:rPr>
        <w:t>15.43 acres</w:t>
      </w:r>
      <w:r w:rsidR="00D43507">
        <w:rPr>
          <w:rFonts w:cstheme="minorHAnsi"/>
        </w:rPr>
        <w:t xml:space="preserve"> and about </w:t>
      </w:r>
      <w:r w:rsidR="00D43507" w:rsidRPr="0079300E">
        <w:rPr>
          <w:rFonts w:cstheme="minorHAnsi"/>
        </w:rPr>
        <w:t xml:space="preserve">1,320 feet of river frontage </w:t>
      </w:r>
      <w:r w:rsidR="00D43507" w:rsidRPr="00D43507">
        <w:rPr>
          <w:rFonts w:cstheme="minorHAnsi"/>
        </w:rPr>
        <w:t xml:space="preserve">within </w:t>
      </w:r>
      <w:r w:rsidR="006416EA" w:rsidRPr="0079300E">
        <w:rPr>
          <w:rFonts w:cstheme="minorHAnsi"/>
        </w:rPr>
        <w:t xml:space="preserve">the </w:t>
      </w:r>
      <w:r w:rsidR="006416EA" w:rsidRPr="0079300E">
        <w:rPr>
          <w:rFonts w:cstheme="minorHAnsi"/>
          <w:color w:val="000000"/>
        </w:rPr>
        <w:t>John Day WSR corridor</w:t>
      </w:r>
      <w:r w:rsidR="008F5E62" w:rsidRPr="0079300E">
        <w:rPr>
          <w:rFonts w:cstheme="minorHAnsi"/>
          <w:color w:val="000000"/>
        </w:rPr>
        <w:t>.</w:t>
      </w:r>
      <w:proofErr w:type="gramEnd"/>
    </w:p>
    <w:p w14:paraId="327214B3" w14:textId="1E42AFC4" w:rsidR="00D87A9B" w:rsidRPr="0079300E" w:rsidRDefault="00BF6431" w:rsidP="003E2B79">
      <w:pPr>
        <w:pStyle w:val="ListParagraph"/>
        <w:numPr>
          <w:ilvl w:val="0"/>
          <w:numId w:val="28"/>
        </w:numPr>
        <w:ind w:left="1080"/>
        <w:rPr>
          <w:b/>
          <w:bCs/>
          <w:u w:val="single"/>
        </w:rPr>
      </w:pPr>
      <w:proofErr w:type="gramStart"/>
      <w:r>
        <w:t xml:space="preserve">Acquisition of </w:t>
      </w:r>
      <w:r w:rsidR="003742FC" w:rsidRPr="0079300E">
        <w:rPr>
          <w:rFonts w:cstheme="minorHAnsi"/>
        </w:rPr>
        <w:t xml:space="preserve">a public access </w:t>
      </w:r>
      <w:r w:rsidR="00DC10C1" w:rsidRPr="0079300E">
        <w:rPr>
          <w:rFonts w:cstheme="minorHAnsi"/>
        </w:rPr>
        <w:t>point to the John Day River from a</w:t>
      </w:r>
      <w:r w:rsidR="00D87A9B" w:rsidRPr="0079300E">
        <w:rPr>
          <w:rFonts w:cstheme="minorHAnsi"/>
        </w:rPr>
        <w:t xml:space="preserve"> co</w:t>
      </w:r>
      <w:r w:rsidR="003742FC" w:rsidRPr="0079300E">
        <w:rPr>
          <w:rFonts w:cstheme="minorHAnsi"/>
        </w:rPr>
        <w:t>unty road</w:t>
      </w:r>
      <w:r w:rsidR="00D87A9B" w:rsidRPr="0079300E">
        <w:rPr>
          <w:rFonts w:cstheme="minorHAnsi"/>
        </w:rPr>
        <w:t>.</w:t>
      </w:r>
      <w:proofErr w:type="gramEnd"/>
      <w:r w:rsidR="00D87A9B" w:rsidRPr="0079300E">
        <w:rPr>
          <w:rFonts w:cstheme="minorHAnsi"/>
        </w:rPr>
        <w:t xml:space="preserve">  </w:t>
      </w:r>
    </w:p>
    <w:p w14:paraId="207E5950" w14:textId="0AE81289" w:rsidR="008F5E62" w:rsidRDefault="008F5E62" w:rsidP="003E2B79">
      <w:pPr>
        <w:pStyle w:val="Style"/>
        <w:numPr>
          <w:ilvl w:val="0"/>
          <w:numId w:val="28"/>
        </w:numPr>
        <w:ind w:left="1080" w:right="48"/>
        <w:rPr>
          <w:rFonts w:cstheme="minorHAnsi"/>
        </w:rPr>
      </w:pPr>
      <w:r>
        <w:t xml:space="preserve">Disposal of </w:t>
      </w:r>
      <w:r w:rsidR="003742FC">
        <w:rPr>
          <w:rFonts w:cstheme="minorHAnsi"/>
        </w:rPr>
        <w:t xml:space="preserve">Federal land that is </w:t>
      </w:r>
      <w:r>
        <w:t xml:space="preserve">difficult and uneconomic to manage </w:t>
      </w:r>
      <w:r>
        <w:rPr>
          <w:rFonts w:cstheme="minorHAnsi"/>
        </w:rPr>
        <w:t>with</w:t>
      </w:r>
      <w:r w:rsidR="003B782E" w:rsidRPr="003B782E">
        <w:rPr>
          <w:rFonts w:cstheme="minorHAnsi"/>
        </w:rPr>
        <w:t xml:space="preserve"> no legal access</w:t>
      </w:r>
      <w:r w:rsidR="003742FC">
        <w:rPr>
          <w:rFonts w:cstheme="minorHAnsi"/>
        </w:rPr>
        <w:t>.</w:t>
      </w:r>
    </w:p>
    <w:p w14:paraId="327214B5" w14:textId="7642DC06" w:rsidR="004E2D2B" w:rsidRPr="0015150D" w:rsidRDefault="008F5E62" w:rsidP="003E2B79">
      <w:pPr>
        <w:pStyle w:val="Style"/>
        <w:numPr>
          <w:ilvl w:val="0"/>
          <w:numId w:val="28"/>
        </w:numPr>
        <w:ind w:left="1080" w:right="48"/>
        <w:rPr>
          <w:rFonts w:cstheme="minorHAnsi"/>
        </w:rPr>
      </w:pPr>
      <w:proofErr w:type="gramStart"/>
      <w:r>
        <w:rPr>
          <w:rFonts w:cstheme="minorHAnsi"/>
        </w:rPr>
        <w:t>R</w:t>
      </w:r>
      <w:r w:rsidR="003B782E" w:rsidRPr="0015150D">
        <w:rPr>
          <w:rFonts w:cstheme="minorHAnsi"/>
        </w:rPr>
        <w:t>esol</w:t>
      </w:r>
      <w:r>
        <w:rPr>
          <w:rFonts w:cstheme="minorHAnsi"/>
        </w:rPr>
        <w:t xml:space="preserve">ution of an </w:t>
      </w:r>
      <w:r w:rsidRPr="008F5E62">
        <w:rPr>
          <w:rFonts w:cstheme="minorHAnsi"/>
        </w:rPr>
        <w:t>inadvertent</w:t>
      </w:r>
      <w:r w:rsidR="003E2B79">
        <w:rPr>
          <w:rFonts w:cstheme="minorHAnsi"/>
        </w:rPr>
        <w:t>,</w:t>
      </w:r>
      <w:r>
        <w:rPr>
          <w:rFonts w:cstheme="minorHAnsi"/>
        </w:rPr>
        <w:t xml:space="preserve"> 15.7</w:t>
      </w:r>
      <w:r w:rsidR="003E2B79">
        <w:rPr>
          <w:rFonts w:cstheme="minorHAnsi"/>
        </w:rPr>
        <w:t>-</w:t>
      </w:r>
      <w:r>
        <w:rPr>
          <w:rFonts w:cstheme="minorHAnsi"/>
        </w:rPr>
        <w:t xml:space="preserve">acre </w:t>
      </w:r>
      <w:r w:rsidR="004E2D2B" w:rsidRPr="0015150D">
        <w:rPr>
          <w:rFonts w:cstheme="minorHAnsi"/>
        </w:rPr>
        <w:t>agricultural</w:t>
      </w:r>
      <w:r w:rsidR="0015150D">
        <w:rPr>
          <w:rFonts w:cstheme="minorHAnsi"/>
        </w:rPr>
        <w:t xml:space="preserve"> trespass</w:t>
      </w:r>
      <w:r w:rsidR="003B782E" w:rsidRPr="0015150D">
        <w:rPr>
          <w:rFonts w:cstheme="minorHAnsi"/>
        </w:rPr>
        <w:t>.</w:t>
      </w:r>
      <w:proofErr w:type="gramEnd"/>
      <w:r w:rsidR="003B782E" w:rsidRPr="0015150D">
        <w:rPr>
          <w:rFonts w:cstheme="minorHAnsi"/>
        </w:rPr>
        <w:t xml:space="preserve"> </w:t>
      </w:r>
      <w:r w:rsidR="00582681">
        <w:rPr>
          <w:rFonts w:cstheme="minorHAnsi"/>
        </w:rPr>
        <w:t xml:space="preserve"> </w:t>
      </w:r>
      <w:r w:rsidR="00B27EDE">
        <w:rPr>
          <w:rFonts w:cstheme="minorHAnsi"/>
        </w:rPr>
        <w:t>(</w:t>
      </w:r>
      <w:r w:rsidR="00417F2C">
        <w:rPr>
          <w:rFonts w:cstheme="minorHAnsi"/>
        </w:rPr>
        <w:t xml:space="preserve">It is likely </w:t>
      </w:r>
      <w:r w:rsidR="00B27EDE">
        <w:rPr>
          <w:rFonts w:cstheme="minorHAnsi"/>
        </w:rPr>
        <w:t xml:space="preserve">that </w:t>
      </w:r>
      <w:proofErr w:type="gramStart"/>
      <w:r w:rsidR="00B27EDE">
        <w:rPr>
          <w:rFonts w:cstheme="minorHAnsi"/>
        </w:rPr>
        <w:t xml:space="preserve">this trespass was first identified </w:t>
      </w:r>
      <w:r w:rsidR="00417F2C">
        <w:rPr>
          <w:rFonts w:cstheme="minorHAnsi"/>
        </w:rPr>
        <w:t xml:space="preserve">in 1977 </w:t>
      </w:r>
      <w:r w:rsidR="00B27EDE">
        <w:rPr>
          <w:rFonts w:cstheme="minorHAnsi"/>
        </w:rPr>
        <w:t>following</w:t>
      </w:r>
      <w:r w:rsidR="00417F2C">
        <w:rPr>
          <w:rFonts w:cstheme="minorHAnsi"/>
        </w:rPr>
        <w:t xml:space="preserve"> a dependent resurvey in this township by Cadastral Survey</w:t>
      </w:r>
      <w:proofErr w:type="gramEnd"/>
      <w:r w:rsidR="00550E5E">
        <w:t>.  Records of the State Department of Water Resources indicate the hist</w:t>
      </w:r>
      <w:r w:rsidR="00417F2C">
        <w:t xml:space="preserve">orical, </w:t>
      </w:r>
      <w:proofErr w:type="gramStart"/>
      <w:r w:rsidR="00417F2C">
        <w:t>long term</w:t>
      </w:r>
      <w:proofErr w:type="gramEnd"/>
      <w:r w:rsidR="00417F2C">
        <w:t xml:space="preserve"> nature of the</w:t>
      </w:r>
      <w:r w:rsidR="00550E5E">
        <w:t xml:space="preserve"> </w:t>
      </w:r>
      <w:r w:rsidR="007D78B8">
        <w:t>water appropriation</w:t>
      </w:r>
      <w:r w:rsidR="00550E5E">
        <w:t xml:space="preserve">. </w:t>
      </w:r>
      <w:r w:rsidR="00A94E4E">
        <w:t>T</w:t>
      </w:r>
      <w:r w:rsidR="007D78B8">
        <w:t xml:space="preserve">he BLM </w:t>
      </w:r>
      <w:r w:rsidR="00417F2C">
        <w:t xml:space="preserve">authorized the use by issuing </w:t>
      </w:r>
      <w:proofErr w:type="gramStart"/>
      <w:r w:rsidR="007D78B8">
        <w:t>s</w:t>
      </w:r>
      <w:r w:rsidR="00F07D54">
        <w:t>hort term</w:t>
      </w:r>
      <w:proofErr w:type="gramEnd"/>
      <w:r w:rsidR="00F07D54">
        <w:t xml:space="preserve"> agricul</w:t>
      </w:r>
      <w:r w:rsidR="00550E5E">
        <w:t>tural permits in accordance with 43 CFR 2900, until the trespass could be resolved.)</w:t>
      </w:r>
    </w:p>
    <w:p w14:paraId="327214B6" w14:textId="77777777" w:rsidR="00021E44" w:rsidRDefault="00021E44">
      <w:pPr>
        <w:rPr>
          <w:bCs/>
        </w:rPr>
      </w:pPr>
    </w:p>
    <w:p w14:paraId="327214B7" w14:textId="77777777" w:rsidR="004475AF" w:rsidRPr="00BC2513" w:rsidRDefault="0091007C" w:rsidP="00713AB3">
      <w:pPr>
        <w:tabs>
          <w:tab w:val="left" w:pos="720"/>
        </w:tabs>
        <w:rPr>
          <w:b/>
          <w:bCs/>
        </w:rPr>
      </w:pPr>
      <w:r w:rsidRPr="00BC2513">
        <w:rPr>
          <w:b/>
          <w:bCs/>
        </w:rPr>
        <w:t>3.1</w:t>
      </w:r>
      <w:r w:rsidRPr="00BC2513">
        <w:rPr>
          <w:b/>
          <w:bCs/>
        </w:rPr>
        <w:tab/>
      </w:r>
      <w:r w:rsidR="000339A2" w:rsidRPr="00BC2513">
        <w:rPr>
          <w:b/>
          <w:bCs/>
        </w:rPr>
        <w:t>Public Interest Determination</w:t>
      </w:r>
    </w:p>
    <w:p w14:paraId="327214B8" w14:textId="77777777" w:rsidR="00286992" w:rsidRDefault="00286992" w:rsidP="00286992">
      <w:pPr>
        <w:pStyle w:val="Style"/>
      </w:pPr>
    </w:p>
    <w:p w14:paraId="327214B9" w14:textId="6F1CE256" w:rsidR="00286992" w:rsidRPr="00B61248" w:rsidRDefault="006447C1" w:rsidP="00286992">
      <w:pPr>
        <w:pStyle w:val="Style"/>
      </w:pPr>
      <w:r>
        <w:t>The Omnibus Act</w:t>
      </w:r>
      <w:r w:rsidR="00286992">
        <w:t xml:space="preserve"> </w:t>
      </w:r>
      <w:r w:rsidR="00286992" w:rsidRPr="00A736DB">
        <w:t>authorized and directed</w:t>
      </w:r>
      <w:r w:rsidR="008F5E62">
        <w:t xml:space="preserve"> this land exchange</w:t>
      </w:r>
      <w:r w:rsidR="00286992" w:rsidRPr="00A736DB">
        <w:t xml:space="preserve">.  </w:t>
      </w:r>
      <w:r w:rsidR="00286992">
        <w:t xml:space="preserve">The </w:t>
      </w:r>
      <w:r w:rsidR="00286992" w:rsidRPr="00A736DB">
        <w:t xml:space="preserve">BLM believes that Congress and the President (by signing </w:t>
      </w:r>
      <w:r>
        <w:t>the Omnibus Act</w:t>
      </w:r>
      <w:r w:rsidR="00286992" w:rsidRPr="00A736DB">
        <w:t>) have</w:t>
      </w:r>
      <w:r w:rsidR="00286992">
        <w:t xml:space="preserve"> made the determination that these transaction</w:t>
      </w:r>
      <w:r w:rsidR="00286992" w:rsidRPr="00A736DB">
        <w:t xml:space="preserve">s would be in the public interest.  </w:t>
      </w:r>
      <w:r w:rsidR="00286992">
        <w:t>Regardless, if the BLM did have to make th</w:t>
      </w:r>
      <w:r w:rsidR="00594520">
        <w:t>is</w:t>
      </w:r>
      <w:r w:rsidR="00286992">
        <w:t xml:space="preserve"> determination</w:t>
      </w:r>
      <w:r w:rsidR="00594520">
        <w:t xml:space="preserve">, </w:t>
      </w:r>
      <w:r w:rsidR="003E2B79">
        <w:t xml:space="preserve">the </w:t>
      </w:r>
      <w:r w:rsidR="00594520">
        <w:t>BLM would conclude</w:t>
      </w:r>
      <w:r w:rsidR="00286992">
        <w:t xml:space="preserve"> that this </w:t>
      </w:r>
      <w:r w:rsidR="00286992" w:rsidRPr="00B61248">
        <w:t>exchange would be in the public interest, pursuant to</w:t>
      </w:r>
      <w:r w:rsidR="00286992">
        <w:rPr>
          <w:rFonts w:eastAsia="Calibri"/>
        </w:rPr>
        <w:t xml:space="preserve"> Section 102(a)</w:t>
      </w:r>
      <w:r w:rsidR="00286992" w:rsidRPr="00B61248">
        <w:rPr>
          <w:rFonts w:eastAsia="Calibri"/>
        </w:rPr>
        <w:t>(1) and Section 206(a) of FLPMA</w:t>
      </w:r>
      <w:r w:rsidR="00286992">
        <w:t xml:space="preserve"> and 43 CFR 2200.0-6(b)</w:t>
      </w:r>
      <w:r w:rsidR="00594520">
        <w:t>,</w:t>
      </w:r>
      <w:r w:rsidR="00286992">
        <w:t xml:space="preserve"> for the following reasons</w:t>
      </w:r>
      <w:r w:rsidR="003E2B79">
        <w:t>.</w:t>
      </w:r>
    </w:p>
    <w:p w14:paraId="327214BA" w14:textId="77777777" w:rsidR="00286992" w:rsidRPr="00B61248" w:rsidRDefault="00286992" w:rsidP="00286992">
      <w:pPr>
        <w:pStyle w:val="Style"/>
      </w:pPr>
    </w:p>
    <w:p w14:paraId="327214BB" w14:textId="4D82AD87" w:rsidR="00286992" w:rsidRPr="003C4447" w:rsidRDefault="00D1587B" w:rsidP="00286992">
      <w:pPr>
        <w:rPr>
          <w:rFonts w:eastAsia="Calibri"/>
        </w:rPr>
      </w:pPr>
      <w:r w:rsidRPr="002B7596">
        <w:rPr>
          <w:rFonts w:eastAsia="Calibri"/>
          <w:b/>
        </w:rPr>
        <w:t>3.1.1</w:t>
      </w:r>
      <w:r>
        <w:rPr>
          <w:rFonts w:eastAsia="Calibri"/>
        </w:rPr>
        <w:tab/>
      </w:r>
      <w:r w:rsidR="00286992" w:rsidRPr="002D67C8">
        <w:rPr>
          <w:rFonts w:eastAsia="Calibri"/>
        </w:rPr>
        <w:t xml:space="preserve">In </w:t>
      </w:r>
      <w:r w:rsidR="00286992">
        <w:rPr>
          <w:rFonts w:eastAsia="Calibri"/>
        </w:rPr>
        <w:t xml:space="preserve">accordance with </w:t>
      </w:r>
      <w:r w:rsidR="00286992" w:rsidRPr="00B61248">
        <w:t>43 CFR 2200.0-6(b)</w:t>
      </w:r>
      <w:r w:rsidR="00286992">
        <w:t>(1)</w:t>
      </w:r>
      <w:r>
        <w:t xml:space="preserve">, </w:t>
      </w:r>
      <w:r w:rsidR="00286992" w:rsidRPr="002D67C8">
        <w:rPr>
          <w:rFonts w:eastAsia="Calibri"/>
        </w:rPr>
        <w:t xml:space="preserve">the </w:t>
      </w:r>
      <w:r w:rsidR="00286992">
        <w:rPr>
          <w:rFonts w:eastAsia="Calibri"/>
        </w:rPr>
        <w:t xml:space="preserve">resource </w:t>
      </w:r>
      <w:r w:rsidR="00286992" w:rsidRPr="002D67C8">
        <w:rPr>
          <w:rFonts w:eastAsia="Calibri"/>
        </w:rPr>
        <w:t xml:space="preserve">values and public objectives of the Federal lands to be conveyed are not more than the </w:t>
      </w:r>
      <w:r w:rsidR="00286992">
        <w:rPr>
          <w:rFonts w:eastAsia="Calibri"/>
        </w:rPr>
        <w:t xml:space="preserve">resource </w:t>
      </w:r>
      <w:r w:rsidR="00286992" w:rsidRPr="002D67C8">
        <w:rPr>
          <w:rFonts w:eastAsia="Calibri"/>
        </w:rPr>
        <w:t xml:space="preserve">values and the public objectives that the non-Federal lands could serve if acquired.  </w:t>
      </w:r>
      <w:r w:rsidR="00286992" w:rsidRPr="00B61248">
        <w:rPr>
          <w:rFonts w:eastAsia="Calibri"/>
          <w:color w:val="000000"/>
        </w:rPr>
        <w:t>If retained in Federal ownership</w:t>
      </w:r>
      <w:r w:rsidR="00286992">
        <w:rPr>
          <w:rFonts w:eastAsia="Calibri"/>
          <w:color w:val="000000"/>
        </w:rPr>
        <w:t>,</w:t>
      </w:r>
      <w:r w:rsidR="00286992" w:rsidRPr="00B61248">
        <w:rPr>
          <w:rFonts w:eastAsia="Calibri"/>
          <w:color w:val="000000"/>
        </w:rPr>
        <w:t xml:space="preserve"> the subject public lands would remain as </w:t>
      </w:r>
      <w:r w:rsidR="00286992">
        <w:rPr>
          <w:rFonts w:eastAsia="Calibri"/>
          <w:color w:val="000000"/>
        </w:rPr>
        <w:t>an</w:t>
      </w:r>
      <w:r w:rsidR="00286992" w:rsidRPr="00B61248">
        <w:rPr>
          <w:rFonts w:eastAsia="Calibri"/>
          <w:color w:val="000000"/>
        </w:rPr>
        <w:t xml:space="preserve"> </w:t>
      </w:r>
      <w:proofErr w:type="gramStart"/>
      <w:r w:rsidR="00B33B4E">
        <w:rPr>
          <w:rFonts w:eastAsia="Calibri"/>
          <w:color w:val="000000"/>
        </w:rPr>
        <w:t>edge</w:t>
      </w:r>
      <w:r w:rsidR="003E2B79">
        <w:rPr>
          <w:rFonts w:eastAsia="Calibri"/>
          <w:color w:val="000000"/>
        </w:rPr>
        <w:t>-</w:t>
      </w:r>
      <w:r w:rsidR="00B33B4E">
        <w:rPr>
          <w:rFonts w:eastAsia="Calibri"/>
          <w:color w:val="000000"/>
        </w:rPr>
        <w:t>holding</w:t>
      </w:r>
      <w:proofErr w:type="gramEnd"/>
      <w:r w:rsidR="00286992" w:rsidRPr="00B61248">
        <w:rPr>
          <w:rFonts w:eastAsia="Calibri"/>
          <w:color w:val="000000"/>
        </w:rPr>
        <w:t xml:space="preserve"> that </w:t>
      </w:r>
      <w:r w:rsidR="00286992">
        <w:rPr>
          <w:rFonts w:eastAsia="Calibri"/>
          <w:color w:val="000000"/>
        </w:rPr>
        <w:t>is</w:t>
      </w:r>
      <w:r w:rsidR="00286992" w:rsidRPr="00B61248">
        <w:rPr>
          <w:rFonts w:eastAsia="Calibri"/>
          <w:color w:val="000000"/>
        </w:rPr>
        <w:t xml:space="preserve"> difficult and uneconomic to manage.  The exchange would consolidate public land ownership within the </w:t>
      </w:r>
      <w:r w:rsidR="00286992">
        <w:rPr>
          <w:rFonts w:eastAsia="Calibri"/>
          <w:color w:val="000000"/>
        </w:rPr>
        <w:t>John Day WSR corridor</w:t>
      </w:r>
      <w:r w:rsidR="00286992" w:rsidRPr="00B61248">
        <w:rPr>
          <w:rFonts w:eastAsia="Calibri"/>
          <w:color w:val="000000"/>
        </w:rPr>
        <w:t xml:space="preserve"> to enhance </w:t>
      </w:r>
      <w:r w:rsidR="00286992">
        <w:rPr>
          <w:rFonts w:eastAsia="Calibri"/>
          <w:color w:val="000000"/>
        </w:rPr>
        <w:t xml:space="preserve">recreational </w:t>
      </w:r>
      <w:r w:rsidR="00286992" w:rsidRPr="00B61248">
        <w:rPr>
          <w:rFonts w:eastAsia="Calibri"/>
          <w:color w:val="000000"/>
        </w:rPr>
        <w:t xml:space="preserve">management opportunities.    </w:t>
      </w:r>
    </w:p>
    <w:p w14:paraId="327214BC" w14:textId="77777777" w:rsidR="00286992" w:rsidRPr="00B61248" w:rsidRDefault="00286992" w:rsidP="00286992">
      <w:pPr>
        <w:ind w:left="720"/>
        <w:rPr>
          <w:rFonts w:eastAsia="Calibri"/>
          <w:color w:val="000000"/>
        </w:rPr>
      </w:pPr>
    </w:p>
    <w:p w14:paraId="327214BD" w14:textId="01FAD40F" w:rsidR="00286992" w:rsidRPr="006F325D" w:rsidRDefault="00D1587B" w:rsidP="00286992">
      <w:pPr>
        <w:rPr>
          <w:rFonts w:eastAsia="Calibri"/>
          <w:color w:val="000000"/>
        </w:rPr>
      </w:pPr>
      <w:r w:rsidRPr="002B7596">
        <w:rPr>
          <w:rFonts w:eastAsia="Calibri"/>
          <w:b/>
        </w:rPr>
        <w:t>3.1.2</w:t>
      </w:r>
      <w:r>
        <w:rPr>
          <w:rFonts w:eastAsia="Calibri"/>
        </w:rPr>
        <w:tab/>
      </w:r>
      <w:r w:rsidR="00286992" w:rsidRPr="002D67C8">
        <w:rPr>
          <w:rFonts w:eastAsia="Calibri"/>
        </w:rPr>
        <w:t xml:space="preserve">In </w:t>
      </w:r>
      <w:r w:rsidR="00286992">
        <w:rPr>
          <w:rFonts w:eastAsia="Calibri"/>
        </w:rPr>
        <w:t xml:space="preserve">accordance with </w:t>
      </w:r>
      <w:r w:rsidR="00286992" w:rsidRPr="00B61248">
        <w:t>43 CFR 2200.0-6(b)</w:t>
      </w:r>
      <w:r w:rsidR="00286992">
        <w:t xml:space="preserve"> (2)</w:t>
      </w:r>
      <w:r>
        <w:t xml:space="preserve">, </w:t>
      </w:r>
      <w:r w:rsidR="00286992">
        <w:rPr>
          <w:rFonts w:eastAsia="Calibri"/>
          <w:color w:val="000000"/>
        </w:rPr>
        <w:t>t</w:t>
      </w:r>
      <w:r w:rsidR="00286992" w:rsidRPr="00B61248">
        <w:rPr>
          <w:rFonts w:eastAsia="Calibri"/>
          <w:color w:val="000000"/>
        </w:rPr>
        <w:t>he intended use of the conveyed Federal land will not significantly conflict with Federal land management and programs.</w:t>
      </w:r>
      <w:r w:rsidR="00286992">
        <w:rPr>
          <w:rFonts w:eastAsia="Calibri"/>
          <w:color w:val="000000"/>
        </w:rPr>
        <w:t xml:space="preserve">  </w:t>
      </w:r>
      <w:r w:rsidR="00286992" w:rsidRPr="006F325D">
        <w:rPr>
          <w:rFonts w:eastAsia="Calibri"/>
          <w:color w:val="000000"/>
        </w:rPr>
        <w:t xml:space="preserve">The Federal land is primarily rangeland in character with 15.7 </w:t>
      </w:r>
      <w:r w:rsidR="008F5E62">
        <w:rPr>
          <w:rFonts w:eastAsia="Calibri"/>
          <w:color w:val="000000"/>
        </w:rPr>
        <w:t xml:space="preserve">irrigated </w:t>
      </w:r>
      <w:r w:rsidR="00286992" w:rsidRPr="006F325D">
        <w:rPr>
          <w:rFonts w:eastAsia="Calibri"/>
          <w:color w:val="000000"/>
        </w:rPr>
        <w:t>acres</w:t>
      </w:r>
      <w:r w:rsidR="00760F5E">
        <w:rPr>
          <w:rFonts w:eastAsia="Calibri"/>
          <w:color w:val="000000"/>
        </w:rPr>
        <w:t xml:space="preserve"> that are cultivated</w:t>
      </w:r>
      <w:r w:rsidR="00286992" w:rsidRPr="006F325D">
        <w:rPr>
          <w:rFonts w:eastAsia="Calibri"/>
          <w:color w:val="000000"/>
        </w:rPr>
        <w:t xml:space="preserve">.  </w:t>
      </w:r>
      <w:r w:rsidR="007D78B8">
        <w:rPr>
          <w:rFonts w:eastAsia="Calibri"/>
          <w:color w:val="000000"/>
        </w:rPr>
        <w:t>Hugh Kelly and Rosemary</w:t>
      </w:r>
      <w:r w:rsidR="001167CD">
        <w:rPr>
          <w:rFonts w:eastAsia="Calibri"/>
          <w:color w:val="000000"/>
        </w:rPr>
        <w:t xml:space="preserve"> </w:t>
      </w:r>
      <w:proofErr w:type="spellStart"/>
      <w:r w:rsidR="001167CD">
        <w:rPr>
          <w:rFonts w:eastAsia="Calibri"/>
          <w:color w:val="000000"/>
        </w:rPr>
        <w:t>McGreer</w:t>
      </w:r>
      <w:proofErr w:type="spellEnd"/>
      <w:r w:rsidR="008F5E62">
        <w:rPr>
          <w:rFonts w:eastAsia="Calibri"/>
          <w:color w:val="000000"/>
        </w:rPr>
        <w:t xml:space="preserve"> </w:t>
      </w:r>
      <w:r w:rsidR="001167CD">
        <w:rPr>
          <w:rFonts w:eastAsia="Calibri"/>
          <w:color w:val="000000"/>
        </w:rPr>
        <w:t>will manage t</w:t>
      </w:r>
      <w:r w:rsidR="00286992" w:rsidRPr="006F325D">
        <w:rPr>
          <w:rFonts w:eastAsia="Calibri"/>
          <w:color w:val="000000"/>
        </w:rPr>
        <w:t xml:space="preserve">hese </w:t>
      </w:r>
      <w:r w:rsidR="007D78B8">
        <w:rPr>
          <w:rFonts w:eastAsia="Calibri"/>
          <w:color w:val="000000"/>
        </w:rPr>
        <w:t>acquired</w:t>
      </w:r>
      <w:r w:rsidR="00286992" w:rsidRPr="006F325D">
        <w:rPr>
          <w:rFonts w:eastAsia="Calibri"/>
          <w:color w:val="000000"/>
        </w:rPr>
        <w:t xml:space="preserve"> lands</w:t>
      </w:r>
      <w:r w:rsidR="008F5E62">
        <w:rPr>
          <w:rFonts w:eastAsia="Calibri"/>
          <w:color w:val="000000"/>
        </w:rPr>
        <w:t xml:space="preserve"> </w:t>
      </w:r>
      <w:r w:rsidR="00286992" w:rsidRPr="006F325D">
        <w:rPr>
          <w:rFonts w:eastAsia="Calibri"/>
          <w:color w:val="000000"/>
        </w:rPr>
        <w:t xml:space="preserve">without affecting the adjacent Federal land ownership that remains.  </w:t>
      </w:r>
    </w:p>
    <w:p w14:paraId="327214BE" w14:textId="77777777" w:rsidR="00286992" w:rsidRDefault="00286992" w:rsidP="00286992">
      <w:pPr>
        <w:rPr>
          <w:rFonts w:eastAsia="Calibri"/>
          <w:color w:val="000000"/>
        </w:rPr>
      </w:pPr>
    </w:p>
    <w:p w14:paraId="327214BF" w14:textId="7EA3C921" w:rsidR="00286992" w:rsidRDefault="00D1587B" w:rsidP="00286992">
      <w:pPr>
        <w:rPr>
          <w:rFonts w:eastAsia="Calibri"/>
          <w:color w:val="000000"/>
        </w:rPr>
      </w:pPr>
      <w:r w:rsidRPr="002B7596">
        <w:rPr>
          <w:rFonts w:eastAsia="Calibri"/>
          <w:b/>
        </w:rPr>
        <w:t>3.1.3</w:t>
      </w:r>
      <w:r>
        <w:rPr>
          <w:rFonts w:eastAsia="Calibri"/>
        </w:rPr>
        <w:tab/>
      </w:r>
      <w:r w:rsidR="00286992" w:rsidRPr="002D67C8">
        <w:rPr>
          <w:rFonts w:eastAsia="Calibri"/>
        </w:rPr>
        <w:t xml:space="preserve">In </w:t>
      </w:r>
      <w:r w:rsidR="00286992">
        <w:rPr>
          <w:rFonts w:eastAsia="Calibri"/>
        </w:rPr>
        <w:t xml:space="preserve">accordance with </w:t>
      </w:r>
      <w:r w:rsidR="00286992">
        <w:t>43 CFR 2200.0-6(c</w:t>
      </w:r>
      <w:r w:rsidR="00286992" w:rsidRPr="00B61248">
        <w:t>)</w:t>
      </w:r>
      <w:r>
        <w:t>, t</w:t>
      </w:r>
      <w:r w:rsidR="00286992" w:rsidRPr="00247AC5">
        <w:t xml:space="preserve">he </w:t>
      </w:r>
      <w:r w:rsidR="00286992">
        <w:t>lands to be exchanged shall be of equal value based on the m</w:t>
      </w:r>
      <w:r w:rsidR="00286992" w:rsidRPr="00247AC5">
        <w:t xml:space="preserve">arket </w:t>
      </w:r>
      <w:r w:rsidR="00286992">
        <w:t>v</w:t>
      </w:r>
      <w:r w:rsidR="00286992" w:rsidRPr="00247AC5">
        <w:t>alues of the Federal and non-Federal land</w:t>
      </w:r>
      <w:r w:rsidR="00286992">
        <w:t xml:space="preserve">s that </w:t>
      </w:r>
      <w:r w:rsidR="00286992" w:rsidRPr="00247AC5">
        <w:t xml:space="preserve">will be estimated through self-contained appraisals performed by a qualified </w:t>
      </w:r>
      <w:r w:rsidR="00286992">
        <w:t xml:space="preserve">independent </w:t>
      </w:r>
      <w:r w:rsidR="00286992" w:rsidRPr="00247AC5">
        <w:t xml:space="preserve">appraiser considered to be most appropriate for this assignment and mutually agreed upon by </w:t>
      </w:r>
      <w:r w:rsidR="00286992">
        <w:t>all intended users.</w:t>
      </w:r>
    </w:p>
    <w:p w14:paraId="327214C1" w14:textId="5FBA4434" w:rsidR="00286992" w:rsidRDefault="00D1587B" w:rsidP="00286992">
      <w:pPr>
        <w:rPr>
          <w:rFonts w:eastAsia="Calibri"/>
        </w:rPr>
      </w:pPr>
      <w:r w:rsidRPr="002B7596">
        <w:rPr>
          <w:rFonts w:eastAsia="Calibri"/>
          <w:b/>
        </w:rPr>
        <w:lastRenderedPageBreak/>
        <w:t>3.1.4</w:t>
      </w:r>
      <w:r>
        <w:rPr>
          <w:rFonts w:eastAsia="Calibri"/>
        </w:rPr>
        <w:tab/>
      </w:r>
      <w:r w:rsidR="00286992" w:rsidRPr="0023425E">
        <w:rPr>
          <w:rFonts w:eastAsia="Calibri"/>
        </w:rPr>
        <w:t>The exchange would expand and consolidate public land o</w:t>
      </w:r>
      <w:r w:rsidR="00286992">
        <w:rPr>
          <w:rFonts w:eastAsia="Calibri"/>
        </w:rPr>
        <w:t xml:space="preserve">wnership in the </w:t>
      </w:r>
      <w:r w:rsidR="0042762A">
        <w:rPr>
          <w:rFonts w:eastAsia="Calibri"/>
        </w:rPr>
        <w:t>SBWA</w:t>
      </w:r>
      <w:r w:rsidR="00760F5E">
        <w:rPr>
          <w:rFonts w:eastAsia="Calibri"/>
        </w:rPr>
        <w:t xml:space="preserve"> </w:t>
      </w:r>
      <w:r w:rsidR="0042762A">
        <w:rPr>
          <w:rFonts w:eastAsia="Calibri"/>
        </w:rPr>
        <w:t xml:space="preserve">and the </w:t>
      </w:r>
      <w:r w:rsidR="00286992">
        <w:rPr>
          <w:rFonts w:eastAsia="Calibri"/>
        </w:rPr>
        <w:t>John Day WSR corridor,</w:t>
      </w:r>
      <w:r w:rsidR="00286992" w:rsidRPr="0023425E">
        <w:rPr>
          <w:rFonts w:eastAsia="Calibri"/>
        </w:rPr>
        <w:t xml:space="preserve"> provide for better Federal land management</w:t>
      </w:r>
      <w:r w:rsidR="003E2B79">
        <w:rPr>
          <w:rFonts w:eastAsia="Calibri"/>
        </w:rPr>
        <w:t>,</w:t>
      </w:r>
      <w:r w:rsidR="00286992" w:rsidRPr="00CA47E1">
        <w:rPr>
          <w:rFonts w:eastAsia="Calibri"/>
        </w:rPr>
        <w:t xml:space="preserve"> </w:t>
      </w:r>
      <w:r w:rsidR="00286992">
        <w:rPr>
          <w:rFonts w:eastAsia="Calibri"/>
        </w:rPr>
        <w:t>and be</w:t>
      </w:r>
      <w:r w:rsidR="00286992" w:rsidRPr="002D67C8">
        <w:rPr>
          <w:rFonts w:eastAsia="Calibri"/>
        </w:rPr>
        <w:t xml:space="preserve"> consistent with the public interest determination under Section 206(a) of FLPMA</w:t>
      </w:r>
      <w:r w:rsidR="00286992">
        <w:rPr>
          <w:rFonts w:eastAsia="Calibri"/>
        </w:rPr>
        <w:t xml:space="preserve">.  Upon completion of the transactions, the </w:t>
      </w:r>
      <w:r w:rsidR="00D57185">
        <w:rPr>
          <w:rFonts w:eastAsia="Calibri"/>
        </w:rPr>
        <w:t xml:space="preserve">BLM would manage the </w:t>
      </w:r>
      <w:r w:rsidR="00286992">
        <w:rPr>
          <w:rFonts w:eastAsia="Calibri"/>
        </w:rPr>
        <w:t xml:space="preserve">acquired lands in accordance with the provisions of the </w:t>
      </w:r>
      <w:r w:rsidR="0042762A">
        <w:rPr>
          <w:rFonts w:eastAsia="Calibri"/>
        </w:rPr>
        <w:t xml:space="preserve">Spring Basin Wilderness Management Plan, the </w:t>
      </w:r>
      <w:r w:rsidR="00286992">
        <w:rPr>
          <w:rFonts w:eastAsia="Calibri"/>
        </w:rPr>
        <w:t>John Day River Management Plan</w:t>
      </w:r>
      <w:r w:rsidR="00594520">
        <w:rPr>
          <w:rFonts w:eastAsia="Calibri"/>
        </w:rPr>
        <w:t>,</w:t>
      </w:r>
      <w:r w:rsidR="00286992">
        <w:rPr>
          <w:rFonts w:eastAsia="Calibri"/>
        </w:rPr>
        <w:t xml:space="preserve"> and the John Day Basin Resource Management Plan</w:t>
      </w:r>
      <w:r w:rsidR="004C1E43">
        <w:rPr>
          <w:rFonts w:eastAsia="Calibri"/>
        </w:rPr>
        <w:t xml:space="preserve"> </w:t>
      </w:r>
      <w:r w:rsidR="00A662C1">
        <w:rPr>
          <w:rFonts w:eastAsia="Calibri"/>
        </w:rPr>
        <w:t>(RMP)</w:t>
      </w:r>
      <w:r w:rsidR="00286992" w:rsidRPr="00956000">
        <w:rPr>
          <w:rFonts w:eastAsia="Calibri"/>
        </w:rPr>
        <w:t xml:space="preserve">.  </w:t>
      </w:r>
    </w:p>
    <w:p w14:paraId="327214C2" w14:textId="77777777" w:rsidR="00286992" w:rsidRDefault="00286992" w:rsidP="00286992">
      <w:pPr>
        <w:rPr>
          <w:rFonts w:eastAsia="Calibri"/>
        </w:rPr>
      </w:pPr>
    </w:p>
    <w:p w14:paraId="6A9463A9" w14:textId="4A270A1F" w:rsidR="004E6FE1" w:rsidRDefault="008C0DC5" w:rsidP="00286992">
      <w:r w:rsidRPr="002B7596">
        <w:rPr>
          <w:b/>
        </w:rPr>
        <w:t>3.1.5</w:t>
      </w:r>
      <w:r>
        <w:tab/>
      </w:r>
      <w:r w:rsidR="00286992">
        <w:t xml:space="preserve">Upon acceptance of title by the United States, the lands acquired that are within </w:t>
      </w:r>
      <w:r w:rsidR="00286992" w:rsidRPr="00A736DB">
        <w:t xml:space="preserve">the </w:t>
      </w:r>
    </w:p>
    <w:p w14:paraId="327214C3" w14:textId="7305E0A5" w:rsidR="00286992" w:rsidRDefault="0042762A" w:rsidP="00286992">
      <w:r>
        <w:t xml:space="preserve">SBWA and the </w:t>
      </w:r>
      <w:r w:rsidR="00286992" w:rsidRPr="00A736DB">
        <w:t xml:space="preserve">John Day </w:t>
      </w:r>
      <w:r w:rsidR="00286992">
        <w:t xml:space="preserve">WSR </w:t>
      </w:r>
      <w:r w:rsidR="00286992" w:rsidRPr="00A736DB">
        <w:t>corridor</w:t>
      </w:r>
      <w:r>
        <w:t xml:space="preserve"> will become</w:t>
      </w:r>
      <w:r w:rsidR="007D78B8">
        <w:t xml:space="preserve"> segregated, withdrawn from mineral entry and managed as</w:t>
      </w:r>
      <w:r>
        <w:t xml:space="preserve"> part of those respective</w:t>
      </w:r>
      <w:r w:rsidR="00286992">
        <w:t xml:space="preserve"> unit</w:t>
      </w:r>
      <w:r>
        <w:t>s</w:t>
      </w:r>
      <w:r w:rsidR="007D78B8">
        <w:t>,</w:t>
      </w:r>
      <w:r w:rsidR="00286992">
        <w:t xml:space="preserve"> in accordance </w:t>
      </w:r>
      <w:r w:rsidR="003E2B79">
        <w:t xml:space="preserve">with </w:t>
      </w:r>
      <w:r w:rsidR="00286992">
        <w:t xml:space="preserve">applicable laws as provided </w:t>
      </w:r>
      <w:r w:rsidR="003E2B79">
        <w:t xml:space="preserve">for </w:t>
      </w:r>
      <w:r w:rsidR="00286992">
        <w:t>by 43 CFR 2200.0-6(f</w:t>
      </w:r>
      <w:r w:rsidR="00286992" w:rsidRPr="00B61248">
        <w:t>)</w:t>
      </w:r>
      <w:r w:rsidR="00286992">
        <w:t>.</w:t>
      </w:r>
    </w:p>
    <w:p w14:paraId="327214C4" w14:textId="77777777" w:rsidR="00A662C1" w:rsidRDefault="00A662C1" w:rsidP="00286992"/>
    <w:p w14:paraId="327214C5" w14:textId="2471DE33" w:rsidR="00A662C1" w:rsidRPr="00A662C1" w:rsidRDefault="008C0DC5" w:rsidP="00A662C1">
      <w:r w:rsidRPr="002B7596">
        <w:rPr>
          <w:b/>
        </w:rPr>
        <w:t>3.1.6</w:t>
      </w:r>
      <w:r>
        <w:tab/>
      </w:r>
      <w:r w:rsidR="00A662C1" w:rsidRPr="00A662C1">
        <w:t xml:space="preserve">The </w:t>
      </w:r>
      <w:r w:rsidR="00C519BC">
        <w:t xml:space="preserve">BLM considers this </w:t>
      </w:r>
      <w:r w:rsidR="00A662C1" w:rsidRPr="00A662C1">
        <w:t>exchange to be in conformance with land use planning objectives for the lands involved in accordance with 43 CFR 2200.0-6(g).</w:t>
      </w:r>
      <w:r w:rsidR="004C1E43">
        <w:t xml:space="preserve"> </w:t>
      </w:r>
      <w:r w:rsidR="00A662C1" w:rsidRPr="00A662C1">
        <w:t xml:space="preserve"> The lands acquired by the exchange </w:t>
      </w:r>
      <w:r w:rsidR="00CE037E">
        <w:t>wi</w:t>
      </w:r>
      <w:r w:rsidR="00A662C1" w:rsidRPr="00A662C1">
        <w:t>ll automatically become public lands as defined in 43 USC 1702 and managed in conformance with the relevant land use plan, which is the Two Rivers RMP (as amended)</w:t>
      </w:r>
      <w:r w:rsidR="003E2B79">
        <w:t>,</w:t>
      </w:r>
      <w:r w:rsidR="00A662C1" w:rsidRPr="00A662C1">
        <w:t xml:space="preserve"> and</w:t>
      </w:r>
      <w:r w:rsidR="003E2B79">
        <w:t xml:space="preserve"> </w:t>
      </w:r>
      <w:r w:rsidR="00A662C1" w:rsidRPr="00A662C1">
        <w:t xml:space="preserve">will soon be replaced by the John Day Basin RMP.  </w:t>
      </w:r>
      <w:r w:rsidR="00D7579B">
        <w:t>Those l</w:t>
      </w:r>
      <w:r w:rsidR="00741AA7">
        <w:t xml:space="preserve">ands within the </w:t>
      </w:r>
      <w:r w:rsidR="00A662C1" w:rsidRPr="00A662C1">
        <w:t xml:space="preserve">designated </w:t>
      </w:r>
      <w:r w:rsidR="00D7579B">
        <w:t xml:space="preserve">boundary of the </w:t>
      </w:r>
      <w:r w:rsidR="00A662C1" w:rsidRPr="00A662C1">
        <w:t xml:space="preserve">wilderness </w:t>
      </w:r>
      <w:r w:rsidR="00D7579B">
        <w:t xml:space="preserve">and the WSR </w:t>
      </w:r>
      <w:r w:rsidR="00CE037E">
        <w:t>wi</w:t>
      </w:r>
      <w:r w:rsidR="00D7579B">
        <w:t>ll become part of those</w:t>
      </w:r>
      <w:r w:rsidR="00A662C1" w:rsidRPr="00A662C1">
        <w:t xml:space="preserve"> unit</w:t>
      </w:r>
      <w:r w:rsidR="00D7579B">
        <w:t>s</w:t>
      </w:r>
      <w:r w:rsidR="00D57185">
        <w:t xml:space="preserve"> </w:t>
      </w:r>
      <w:r w:rsidR="00A662C1" w:rsidRPr="00A662C1">
        <w:t>without further action by the BLM</w:t>
      </w:r>
      <w:r w:rsidR="00D57185">
        <w:t xml:space="preserve">.  </w:t>
      </w:r>
    </w:p>
    <w:p w14:paraId="327214C6" w14:textId="77777777" w:rsidR="00713AB3" w:rsidRDefault="00713AB3" w:rsidP="0015150D">
      <w:pPr>
        <w:tabs>
          <w:tab w:val="left" w:pos="720"/>
          <w:tab w:val="left" w:pos="1080"/>
        </w:tabs>
        <w:rPr>
          <w:b/>
        </w:rPr>
      </w:pPr>
    </w:p>
    <w:p w14:paraId="327214C7" w14:textId="77777777" w:rsidR="00751C23" w:rsidRPr="00BC2513" w:rsidRDefault="0001649B" w:rsidP="00424BBA">
      <w:pPr>
        <w:pStyle w:val="Style"/>
        <w:ind w:left="720" w:right="35" w:hanging="720"/>
        <w:rPr>
          <w:b/>
        </w:rPr>
      </w:pPr>
      <w:r w:rsidRPr="00BC2513">
        <w:rPr>
          <w:b/>
        </w:rPr>
        <w:t>4</w:t>
      </w:r>
      <w:r w:rsidR="000D0D5D" w:rsidRPr="00BC2513">
        <w:rPr>
          <w:b/>
        </w:rPr>
        <w:t>.0</w:t>
      </w:r>
      <w:r w:rsidR="000D0D5D" w:rsidRPr="00BC2513">
        <w:rPr>
          <w:b/>
        </w:rPr>
        <w:tab/>
      </w:r>
      <w:r w:rsidR="00424BBA" w:rsidRPr="00BC2513">
        <w:rPr>
          <w:b/>
        </w:rPr>
        <w:t xml:space="preserve">CONSISTENCY WITH </w:t>
      </w:r>
      <w:r w:rsidR="00751C23" w:rsidRPr="00BC2513">
        <w:rPr>
          <w:b/>
        </w:rPr>
        <w:t>LAND USE PLANNING</w:t>
      </w:r>
      <w:r w:rsidR="00424BBA" w:rsidRPr="00BC2513">
        <w:rPr>
          <w:b/>
        </w:rPr>
        <w:t>,</w:t>
      </w:r>
      <w:r w:rsidR="00751C23" w:rsidRPr="00BC2513">
        <w:rPr>
          <w:b/>
        </w:rPr>
        <w:t xml:space="preserve"> </w:t>
      </w:r>
      <w:r w:rsidR="00424BBA" w:rsidRPr="00BC2513">
        <w:rPr>
          <w:b/>
        </w:rPr>
        <w:t>PUBLIC LAWS</w:t>
      </w:r>
      <w:r w:rsidR="00713AB3" w:rsidRPr="00BC2513">
        <w:rPr>
          <w:b/>
        </w:rPr>
        <w:t>,</w:t>
      </w:r>
      <w:r w:rsidR="00424BBA" w:rsidRPr="00BC2513">
        <w:rPr>
          <w:b/>
        </w:rPr>
        <w:t xml:space="preserve"> AND EXECUTIVE ORDERS</w:t>
      </w:r>
    </w:p>
    <w:p w14:paraId="327214CA" w14:textId="77777777" w:rsidR="005D6D97" w:rsidRDefault="005D6D97" w:rsidP="00D478F3"/>
    <w:p w14:paraId="327214CB" w14:textId="6BFD810F" w:rsidR="00D478F3" w:rsidRDefault="005D6D97" w:rsidP="00D478F3">
      <w:r>
        <w:t>T</w:t>
      </w:r>
      <w:r w:rsidR="00D478F3" w:rsidRPr="002F6394">
        <w:t xml:space="preserve">he Prineville District is in the final stages of completing the John Day Basin </w:t>
      </w:r>
      <w:r w:rsidR="004475AF">
        <w:t xml:space="preserve">RMP.  </w:t>
      </w:r>
      <w:r w:rsidR="00D478F3" w:rsidRPr="002F6394">
        <w:t xml:space="preserve">The </w:t>
      </w:r>
      <w:r w:rsidR="004C1E43">
        <w:t>BLM expects to publish the p</w:t>
      </w:r>
      <w:r w:rsidR="00D478F3" w:rsidRPr="002F6394">
        <w:t>roposed R</w:t>
      </w:r>
      <w:r w:rsidR="006130D5">
        <w:t>MP</w:t>
      </w:r>
      <w:r w:rsidR="00D478F3" w:rsidRPr="002F6394">
        <w:t>/Final Environmental Impact Statement in</w:t>
      </w:r>
      <w:r w:rsidR="001C600F" w:rsidRPr="002F6394">
        <w:t xml:space="preserve"> </w:t>
      </w:r>
      <w:r w:rsidR="00E23FE6">
        <w:t>201</w:t>
      </w:r>
      <w:r w:rsidR="00286992">
        <w:t>3</w:t>
      </w:r>
      <w:r w:rsidR="00D478F3" w:rsidRPr="002F6394">
        <w:t xml:space="preserve">.  </w:t>
      </w:r>
      <w:r w:rsidR="00D478F3">
        <w:t>The Two Rivers RMP</w:t>
      </w:r>
      <w:r w:rsidR="004475AF">
        <w:t>,</w:t>
      </w:r>
      <w:r w:rsidR="00D478F3">
        <w:t xml:space="preserve"> dated June 1986</w:t>
      </w:r>
      <w:r w:rsidR="00AD5E55">
        <w:t>,</w:t>
      </w:r>
      <w:r w:rsidR="001C600F">
        <w:t xml:space="preserve"> is currently in effect</w:t>
      </w:r>
      <w:r w:rsidR="00D478F3">
        <w:t xml:space="preserve">.  </w:t>
      </w:r>
      <w:r w:rsidR="004C1E43">
        <w:t>The BLM amended t</w:t>
      </w:r>
      <w:r w:rsidR="00D478F3">
        <w:t xml:space="preserve">his plan </w:t>
      </w:r>
      <w:r w:rsidR="004C1E43">
        <w:t xml:space="preserve">with </w:t>
      </w:r>
      <w:r w:rsidR="00D478F3">
        <w:t xml:space="preserve">the John Day River Management Plan </w:t>
      </w:r>
      <w:r w:rsidR="00047631">
        <w:t xml:space="preserve">and the </w:t>
      </w:r>
      <w:r w:rsidR="00D478F3">
        <w:t>Two Rivers, John Day</w:t>
      </w:r>
      <w:r w:rsidR="006130D5">
        <w:t>,</w:t>
      </w:r>
      <w:r w:rsidR="00D478F3">
        <w:t xml:space="preserve"> and Baker RMP Amendments</w:t>
      </w:r>
      <w:r w:rsidR="004475AF">
        <w:t>,</w:t>
      </w:r>
      <w:r w:rsidR="00D478F3">
        <w:t xml:space="preserve"> dated February 2001.  </w:t>
      </w:r>
      <w:r w:rsidR="00760F5E">
        <w:t xml:space="preserve">The BLM </w:t>
      </w:r>
      <w:r w:rsidR="00D478F3">
        <w:t xml:space="preserve">classified </w:t>
      </w:r>
      <w:r w:rsidR="004C1E43">
        <w:t xml:space="preserve">the </w:t>
      </w:r>
      <w:r w:rsidR="004C1E43" w:rsidRPr="004C1E43">
        <w:t xml:space="preserve">Federal land </w:t>
      </w:r>
      <w:r w:rsidR="00D478F3">
        <w:t xml:space="preserve">in the Two Rivers </w:t>
      </w:r>
      <w:r w:rsidR="004475AF">
        <w:t>R</w:t>
      </w:r>
      <w:r w:rsidR="00D478F3">
        <w:t xml:space="preserve">MP as </w:t>
      </w:r>
      <w:r w:rsidR="00FB12AB">
        <w:t>Zone 2</w:t>
      </w:r>
      <w:r w:rsidR="003742FC">
        <w:t xml:space="preserve"> </w:t>
      </w:r>
      <w:r w:rsidR="00FB12AB">
        <w:t>(</w:t>
      </w:r>
      <w:r w:rsidR="00D478F3">
        <w:t>Z-2</w:t>
      </w:r>
      <w:r w:rsidR="00FB12AB">
        <w:t>)</w:t>
      </w:r>
      <w:r w:rsidR="003E2B79">
        <w:t>,</w:t>
      </w:r>
      <w:r w:rsidR="00D478F3">
        <w:t xml:space="preserve"> which provides an option for </w:t>
      </w:r>
      <w:r w:rsidR="001C600F">
        <w:t xml:space="preserve">land </w:t>
      </w:r>
      <w:r w:rsidR="00D478F3">
        <w:t>exchange</w:t>
      </w:r>
      <w:r w:rsidR="00E8731E">
        <w:t xml:space="preserve"> projects</w:t>
      </w:r>
      <w:r w:rsidR="00D478F3">
        <w:t>.</w:t>
      </w:r>
    </w:p>
    <w:p w14:paraId="327214CC" w14:textId="77777777" w:rsidR="00D478F3" w:rsidRDefault="00D478F3" w:rsidP="00D478F3"/>
    <w:p w14:paraId="327214CD" w14:textId="755C6DE1" w:rsidR="00D478F3" w:rsidRDefault="00D478F3" w:rsidP="00D478F3">
      <w:pPr>
        <w:rPr>
          <w:color w:val="000000"/>
        </w:rPr>
      </w:pPr>
      <w:r>
        <w:t xml:space="preserve">Land tenure </w:t>
      </w:r>
      <w:r w:rsidR="00D7579B">
        <w:t xml:space="preserve">designations </w:t>
      </w:r>
      <w:r>
        <w:t xml:space="preserve">in the </w:t>
      </w:r>
      <w:r w:rsidR="003742FC">
        <w:t>p</w:t>
      </w:r>
      <w:r w:rsidRPr="002F6394">
        <w:t xml:space="preserve">roposed </w:t>
      </w:r>
      <w:r>
        <w:t xml:space="preserve">John Day Basin </w:t>
      </w:r>
      <w:r w:rsidR="000A011B">
        <w:t>RMP</w:t>
      </w:r>
      <w:r>
        <w:t xml:space="preserve"> </w:t>
      </w:r>
      <w:r w:rsidR="001C600F">
        <w:t>identifies the Federal parcel as Z</w:t>
      </w:r>
      <w:r w:rsidR="00CD22FB">
        <w:t>-</w:t>
      </w:r>
      <w:r w:rsidR="001C600F">
        <w:t xml:space="preserve">2 and </w:t>
      </w:r>
      <w:r w:rsidR="00295DD0">
        <w:t xml:space="preserve">allows </w:t>
      </w:r>
      <w:r w:rsidR="001C600F">
        <w:t>for</w:t>
      </w:r>
      <w:r>
        <w:t xml:space="preserve"> convey</w:t>
      </w:r>
      <w:r w:rsidR="001C600F">
        <w:t>ance</w:t>
      </w:r>
      <w:r>
        <w:t xml:space="preserve"> by exchange</w:t>
      </w:r>
      <w:r>
        <w:rPr>
          <w:color w:val="000000"/>
        </w:rPr>
        <w:t xml:space="preserve"> </w:t>
      </w:r>
      <w:r w:rsidRPr="00202146">
        <w:rPr>
          <w:color w:val="000000"/>
        </w:rPr>
        <w:t xml:space="preserve">if </w:t>
      </w:r>
      <w:r>
        <w:rPr>
          <w:color w:val="000000"/>
        </w:rPr>
        <w:t>the United States</w:t>
      </w:r>
      <w:r w:rsidRPr="00202146">
        <w:rPr>
          <w:color w:val="000000"/>
        </w:rPr>
        <w:t xml:space="preserve"> receives equal or grea</w:t>
      </w:r>
      <w:r>
        <w:rPr>
          <w:color w:val="000000"/>
        </w:rPr>
        <w:t>ter resource values in exchange</w:t>
      </w:r>
      <w:r w:rsidRPr="00202146">
        <w:rPr>
          <w:color w:val="000000"/>
        </w:rPr>
        <w:t xml:space="preserve">.  </w:t>
      </w:r>
      <w:r w:rsidR="00295DD0">
        <w:rPr>
          <w:color w:val="000000"/>
        </w:rPr>
        <w:t>The non-Federal lands</w:t>
      </w:r>
      <w:r>
        <w:rPr>
          <w:color w:val="000000"/>
        </w:rPr>
        <w:t xml:space="preserve"> ha</w:t>
      </w:r>
      <w:r w:rsidR="00295DD0">
        <w:rPr>
          <w:color w:val="000000"/>
        </w:rPr>
        <w:t>ve</w:t>
      </w:r>
      <w:r>
        <w:rPr>
          <w:color w:val="000000"/>
        </w:rPr>
        <w:t xml:space="preserve"> </w:t>
      </w:r>
      <w:r w:rsidR="000A011B">
        <w:rPr>
          <w:color w:val="000000"/>
        </w:rPr>
        <w:t xml:space="preserve">been </w:t>
      </w:r>
      <w:r>
        <w:rPr>
          <w:color w:val="000000"/>
        </w:rPr>
        <w:t xml:space="preserve">determined to have a greater </w:t>
      </w:r>
      <w:r w:rsidRPr="00202146">
        <w:rPr>
          <w:color w:val="000000"/>
        </w:rPr>
        <w:t>benefit to the public</w:t>
      </w:r>
      <w:r>
        <w:rPr>
          <w:color w:val="000000"/>
        </w:rPr>
        <w:t xml:space="preserve"> than the Federal land.  </w:t>
      </w:r>
    </w:p>
    <w:p w14:paraId="14AF0526" w14:textId="77777777" w:rsidR="002B7596" w:rsidRDefault="002B7596" w:rsidP="005A456D">
      <w:pPr>
        <w:pStyle w:val="Style"/>
        <w:ind w:right="59"/>
      </w:pPr>
    </w:p>
    <w:p w14:paraId="327214D0" w14:textId="7643DC55" w:rsidR="0007488B" w:rsidRDefault="00E92D07" w:rsidP="005A456D">
      <w:pPr>
        <w:pStyle w:val="Style"/>
        <w:ind w:right="59"/>
      </w:pPr>
      <w:r>
        <w:t>T</w:t>
      </w:r>
      <w:r w:rsidRPr="00E92D07">
        <w:t>he Branch of Geographi</w:t>
      </w:r>
      <w:r>
        <w:t xml:space="preserve">c Sciences, Cadastral Survey, completed and </w:t>
      </w:r>
      <w:r w:rsidRPr="00E92D07">
        <w:t xml:space="preserve">approved </w:t>
      </w:r>
      <w:r>
        <w:t xml:space="preserve">a </w:t>
      </w:r>
      <w:r w:rsidRPr="00E92D07">
        <w:t xml:space="preserve">Land Description Review on May 11, </w:t>
      </w:r>
      <w:r>
        <w:t>2012.</w:t>
      </w:r>
    </w:p>
    <w:p w14:paraId="327214D2" w14:textId="77777777" w:rsidR="00F422CF" w:rsidRDefault="00F422CF" w:rsidP="00D478F3">
      <w:pPr>
        <w:autoSpaceDE w:val="0"/>
        <w:autoSpaceDN w:val="0"/>
        <w:adjustRightInd w:val="0"/>
        <w:rPr>
          <w:rFonts w:cstheme="minorHAnsi"/>
          <w:color w:val="000000"/>
        </w:rPr>
      </w:pPr>
    </w:p>
    <w:p w14:paraId="327214D3" w14:textId="5384B523" w:rsidR="00F051ED" w:rsidRDefault="00D478F3" w:rsidP="00D478F3">
      <w:pPr>
        <w:autoSpaceDE w:val="0"/>
        <w:autoSpaceDN w:val="0"/>
        <w:adjustRightInd w:val="0"/>
        <w:rPr>
          <w:rFonts w:cstheme="minorHAnsi"/>
          <w:color w:val="000000"/>
        </w:rPr>
      </w:pPr>
      <w:r>
        <w:rPr>
          <w:rFonts w:cstheme="minorHAnsi"/>
          <w:color w:val="000000"/>
        </w:rPr>
        <w:t xml:space="preserve">Acquiring the non-Federal </w:t>
      </w:r>
      <w:r w:rsidR="00295DD0">
        <w:rPr>
          <w:rFonts w:cstheme="minorHAnsi"/>
          <w:color w:val="000000"/>
        </w:rPr>
        <w:t>lands</w:t>
      </w:r>
      <w:r>
        <w:rPr>
          <w:rFonts w:cstheme="minorHAnsi"/>
          <w:color w:val="000000"/>
        </w:rPr>
        <w:t xml:space="preserve"> </w:t>
      </w:r>
      <w:r w:rsidR="00AD5E55">
        <w:rPr>
          <w:rFonts w:cstheme="minorHAnsi"/>
          <w:color w:val="000000"/>
        </w:rPr>
        <w:t>is</w:t>
      </w:r>
      <w:r w:rsidR="00AD5E55" w:rsidRPr="00C66773">
        <w:rPr>
          <w:rFonts w:cstheme="minorHAnsi"/>
          <w:color w:val="000000"/>
        </w:rPr>
        <w:t xml:space="preserve"> </w:t>
      </w:r>
      <w:r w:rsidRPr="00C66773">
        <w:rPr>
          <w:rFonts w:cstheme="minorHAnsi"/>
          <w:color w:val="000000"/>
        </w:rPr>
        <w:t xml:space="preserve">consistent with the </w:t>
      </w:r>
      <w:r w:rsidR="00F051ED">
        <w:rPr>
          <w:rFonts w:cstheme="minorHAnsi"/>
          <w:color w:val="000000"/>
        </w:rPr>
        <w:t>i</w:t>
      </w:r>
      <w:r w:rsidR="00F051ED">
        <w:t>ntent of the Two Rivers RMP</w:t>
      </w:r>
      <w:r w:rsidR="003E2B79">
        <w:t>;</w:t>
      </w:r>
      <w:r w:rsidR="00D32BBB">
        <w:t xml:space="preserve"> </w:t>
      </w:r>
      <w:r w:rsidR="00F051ED">
        <w:t>the John Day River Management Plan</w:t>
      </w:r>
      <w:r w:rsidR="003E2B79">
        <w:t>;</w:t>
      </w:r>
      <w:r w:rsidR="00F051ED">
        <w:t xml:space="preserve"> and the Two Rivers, John Day</w:t>
      </w:r>
      <w:r w:rsidR="003E2B79">
        <w:t>,</w:t>
      </w:r>
      <w:r w:rsidR="00F051ED">
        <w:t xml:space="preserve"> and Baker RMP Amendments.</w:t>
      </w:r>
      <w:r w:rsidR="00D32BBB">
        <w:t xml:space="preserve"> </w:t>
      </w:r>
      <w:r w:rsidR="004C1E43">
        <w:t xml:space="preserve"> </w:t>
      </w:r>
      <w:proofErr w:type="gramStart"/>
      <w:r w:rsidR="00F051ED">
        <w:t xml:space="preserve">The </w:t>
      </w:r>
      <w:r w:rsidR="000104BE">
        <w:t xml:space="preserve">actions are </w:t>
      </w:r>
      <w:r w:rsidR="00F051ED">
        <w:t xml:space="preserve">also consistent with the </w:t>
      </w:r>
      <w:r w:rsidRPr="00C66773">
        <w:rPr>
          <w:rFonts w:cstheme="minorHAnsi"/>
          <w:color w:val="000000"/>
        </w:rPr>
        <w:t>management direction of the</w:t>
      </w:r>
      <w:r>
        <w:rPr>
          <w:rFonts w:cstheme="minorHAnsi"/>
          <w:color w:val="000000"/>
        </w:rPr>
        <w:t xml:space="preserve"> </w:t>
      </w:r>
      <w:r w:rsidR="004475AF">
        <w:rPr>
          <w:rFonts w:cstheme="minorHAnsi"/>
          <w:color w:val="000000"/>
        </w:rPr>
        <w:t xml:space="preserve">Proposed </w:t>
      </w:r>
      <w:r w:rsidR="00A06F11">
        <w:rPr>
          <w:rFonts w:cstheme="minorHAnsi"/>
          <w:color w:val="000000"/>
        </w:rPr>
        <w:t xml:space="preserve">John Day Basin </w:t>
      </w:r>
      <w:r>
        <w:rPr>
          <w:rFonts w:cstheme="minorHAnsi"/>
          <w:color w:val="000000"/>
        </w:rPr>
        <w:t>R</w:t>
      </w:r>
      <w:r w:rsidR="006130D5">
        <w:rPr>
          <w:rFonts w:cstheme="minorHAnsi"/>
          <w:color w:val="000000"/>
        </w:rPr>
        <w:t>MP</w:t>
      </w:r>
      <w:r w:rsidR="00AD5E55">
        <w:rPr>
          <w:rFonts w:cstheme="minorHAnsi"/>
          <w:color w:val="000000"/>
        </w:rPr>
        <w:t xml:space="preserve"> </w:t>
      </w:r>
      <w:r>
        <w:rPr>
          <w:rFonts w:cstheme="minorHAnsi"/>
          <w:color w:val="000000"/>
        </w:rPr>
        <w:t>that seeks to “</w:t>
      </w:r>
      <w:r w:rsidRPr="00C66773">
        <w:rPr>
          <w:rFonts w:cstheme="minorHAnsi"/>
          <w:color w:val="000000"/>
        </w:rPr>
        <w:t xml:space="preserve">consolidate public land ownership patterns </w:t>
      </w:r>
      <w:r w:rsidR="007F5D5E">
        <w:rPr>
          <w:rFonts w:cstheme="minorHAnsi"/>
          <w:color w:val="000000"/>
        </w:rPr>
        <w:t>by</w:t>
      </w:r>
      <w:r w:rsidR="007F5D5E" w:rsidRPr="00C66773">
        <w:rPr>
          <w:rFonts w:cstheme="minorHAnsi"/>
          <w:color w:val="000000"/>
        </w:rPr>
        <w:t xml:space="preserve"> </w:t>
      </w:r>
      <w:r w:rsidRPr="00C66773">
        <w:rPr>
          <w:rFonts w:cstheme="minorHAnsi"/>
          <w:color w:val="000000"/>
        </w:rPr>
        <w:t xml:space="preserve">purchase or </w:t>
      </w:r>
      <w:r>
        <w:rPr>
          <w:rFonts w:cstheme="minorHAnsi"/>
          <w:color w:val="000000"/>
        </w:rPr>
        <w:t>e</w:t>
      </w:r>
      <w:r w:rsidRPr="00C66773">
        <w:rPr>
          <w:rFonts w:cstheme="minorHAnsi"/>
          <w:color w:val="000000"/>
        </w:rPr>
        <w:t xml:space="preserve">xchange, acquisition of easements, </w:t>
      </w:r>
      <w:r w:rsidR="007F5D5E">
        <w:rPr>
          <w:rFonts w:cstheme="minorHAnsi"/>
          <w:color w:val="000000"/>
        </w:rPr>
        <w:t xml:space="preserve">and through </w:t>
      </w:r>
      <w:r w:rsidRPr="00C66773">
        <w:rPr>
          <w:rFonts w:cstheme="minorHAnsi"/>
          <w:color w:val="000000"/>
        </w:rPr>
        <w:t>partnership agr</w:t>
      </w:r>
      <w:r>
        <w:rPr>
          <w:rFonts w:cstheme="minorHAnsi"/>
          <w:color w:val="000000"/>
        </w:rPr>
        <w:t xml:space="preserve">eements with willing landowners, </w:t>
      </w:r>
      <w:r w:rsidRPr="00C66773">
        <w:rPr>
          <w:rFonts w:cstheme="minorHAnsi"/>
          <w:color w:val="000000"/>
        </w:rPr>
        <w:t>to resolve public access issues and provide access to high value recreation opportunities”</w:t>
      </w:r>
      <w:r>
        <w:rPr>
          <w:rFonts w:cstheme="minorHAnsi"/>
          <w:color w:val="000000"/>
        </w:rPr>
        <w:t xml:space="preserve"> </w:t>
      </w:r>
      <w:r w:rsidR="00A06F11">
        <w:rPr>
          <w:rFonts w:cstheme="minorHAnsi"/>
          <w:color w:val="000000"/>
        </w:rPr>
        <w:t>(</w:t>
      </w:r>
      <w:r w:rsidR="00CE037E">
        <w:rPr>
          <w:rFonts w:cstheme="minorHAnsi"/>
          <w:color w:val="000000"/>
        </w:rPr>
        <w:t>s</w:t>
      </w:r>
      <w:r w:rsidR="00A06F11">
        <w:rPr>
          <w:rFonts w:cstheme="minorHAnsi"/>
          <w:color w:val="000000"/>
        </w:rPr>
        <w:t>ee P</w:t>
      </w:r>
      <w:r w:rsidR="006130D5">
        <w:rPr>
          <w:rFonts w:cstheme="minorHAnsi"/>
          <w:color w:val="000000"/>
        </w:rPr>
        <w:t xml:space="preserve">roposed </w:t>
      </w:r>
      <w:r w:rsidR="00A06F11">
        <w:rPr>
          <w:rFonts w:cstheme="minorHAnsi"/>
          <w:color w:val="000000"/>
        </w:rPr>
        <w:t xml:space="preserve">RMP </w:t>
      </w:r>
      <w:r w:rsidR="00994369">
        <w:rPr>
          <w:rFonts w:cstheme="minorHAnsi"/>
          <w:color w:val="000000"/>
        </w:rPr>
        <w:t>Objective:</w:t>
      </w:r>
      <w:r w:rsidR="00A06F11">
        <w:rPr>
          <w:rFonts w:cstheme="minorHAnsi"/>
          <w:color w:val="000000"/>
        </w:rPr>
        <w:t xml:space="preserve"> WSR 1, Chapter 2, page </w:t>
      </w:r>
      <w:r w:rsidR="00994369">
        <w:rPr>
          <w:rFonts w:cstheme="minorHAnsi"/>
          <w:color w:val="000000"/>
        </w:rPr>
        <w:t>90</w:t>
      </w:r>
      <w:r w:rsidR="00A06F11">
        <w:rPr>
          <w:rFonts w:cstheme="minorHAnsi"/>
          <w:color w:val="000000"/>
        </w:rPr>
        <w:t>)</w:t>
      </w:r>
      <w:r w:rsidR="00CE037E">
        <w:rPr>
          <w:rFonts w:cstheme="minorHAnsi"/>
          <w:color w:val="000000"/>
        </w:rPr>
        <w:t>.</w:t>
      </w:r>
      <w:proofErr w:type="gramEnd"/>
      <w:r w:rsidR="00A06F11">
        <w:rPr>
          <w:rFonts w:cstheme="minorHAnsi"/>
          <w:color w:val="000000"/>
        </w:rPr>
        <w:t xml:space="preserve">  </w:t>
      </w:r>
    </w:p>
    <w:p w14:paraId="327214D4" w14:textId="77777777" w:rsidR="00F051ED" w:rsidRDefault="00F051ED" w:rsidP="00D478F3">
      <w:pPr>
        <w:autoSpaceDE w:val="0"/>
        <w:autoSpaceDN w:val="0"/>
        <w:adjustRightInd w:val="0"/>
        <w:rPr>
          <w:rFonts w:cstheme="minorHAnsi"/>
          <w:color w:val="000000"/>
        </w:rPr>
      </w:pPr>
    </w:p>
    <w:p w14:paraId="5DE2F19C" w14:textId="0B6BEA6E" w:rsidR="00685BC3" w:rsidRPr="00760F5E" w:rsidRDefault="00D478F3" w:rsidP="00760F5E">
      <w:pPr>
        <w:autoSpaceDE w:val="0"/>
        <w:autoSpaceDN w:val="0"/>
        <w:adjustRightInd w:val="0"/>
        <w:rPr>
          <w:color w:val="000000"/>
        </w:rPr>
      </w:pPr>
      <w:r>
        <w:t>T</w:t>
      </w:r>
      <w:r>
        <w:rPr>
          <w:color w:val="000000"/>
        </w:rPr>
        <w:t xml:space="preserve">he non-Federal land </w:t>
      </w:r>
      <w:r w:rsidR="00746AEC">
        <w:rPr>
          <w:color w:val="000000"/>
        </w:rPr>
        <w:t>provide</w:t>
      </w:r>
      <w:r w:rsidR="003742FC">
        <w:rPr>
          <w:color w:val="000000"/>
        </w:rPr>
        <w:t>s</w:t>
      </w:r>
      <w:r w:rsidR="00746AEC">
        <w:rPr>
          <w:color w:val="000000"/>
        </w:rPr>
        <w:t xml:space="preserve"> about </w:t>
      </w:r>
      <w:r w:rsidR="003742FC">
        <w:rPr>
          <w:color w:val="000000"/>
        </w:rPr>
        <w:t>1,320 feet</w:t>
      </w:r>
      <w:r w:rsidR="00746AEC">
        <w:rPr>
          <w:color w:val="000000"/>
        </w:rPr>
        <w:t xml:space="preserve"> of </w:t>
      </w:r>
      <w:r>
        <w:rPr>
          <w:color w:val="000000"/>
        </w:rPr>
        <w:t xml:space="preserve">river frontage and </w:t>
      </w:r>
      <w:proofErr w:type="gramStart"/>
      <w:r w:rsidR="003742FC">
        <w:rPr>
          <w:color w:val="000000"/>
        </w:rPr>
        <w:t>is</w:t>
      </w:r>
      <w:r>
        <w:rPr>
          <w:color w:val="000000"/>
        </w:rPr>
        <w:t xml:space="preserve"> situated</w:t>
      </w:r>
      <w:proofErr w:type="gramEnd"/>
      <w:r>
        <w:rPr>
          <w:color w:val="000000"/>
        </w:rPr>
        <w:t xml:space="preserve"> </w:t>
      </w:r>
      <w:r>
        <w:rPr>
          <w:rFonts w:cstheme="minorHAnsi"/>
        </w:rPr>
        <w:t xml:space="preserve">entirely </w:t>
      </w:r>
      <w:r>
        <w:rPr>
          <w:color w:val="000000"/>
        </w:rPr>
        <w:t>within the boundary</w:t>
      </w:r>
      <w:r>
        <w:rPr>
          <w:rFonts w:cstheme="minorHAnsi"/>
        </w:rPr>
        <w:t xml:space="preserve"> of the John Day W</w:t>
      </w:r>
      <w:r w:rsidR="006130D5">
        <w:rPr>
          <w:rFonts w:cstheme="minorHAnsi"/>
        </w:rPr>
        <w:t>SR</w:t>
      </w:r>
      <w:r>
        <w:rPr>
          <w:rFonts w:cstheme="minorHAnsi"/>
        </w:rPr>
        <w:t xml:space="preserve"> corridor</w:t>
      </w:r>
      <w:r>
        <w:rPr>
          <w:color w:val="000000"/>
        </w:rPr>
        <w:t xml:space="preserve">.  </w:t>
      </w:r>
    </w:p>
    <w:p w14:paraId="665BC616" w14:textId="77777777" w:rsidR="00685BC3" w:rsidRDefault="00685BC3" w:rsidP="00F827C4">
      <w:pPr>
        <w:rPr>
          <w:b/>
        </w:rPr>
      </w:pPr>
    </w:p>
    <w:p w14:paraId="327214D7" w14:textId="3E3099B4" w:rsidR="004475AF" w:rsidRPr="00BC2513" w:rsidRDefault="00685BC3" w:rsidP="00F827C4">
      <w:pPr>
        <w:rPr>
          <w:b/>
        </w:rPr>
      </w:pPr>
      <w:r>
        <w:rPr>
          <w:b/>
        </w:rPr>
        <w:t>4.1</w:t>
      </w:r>
      <w:r w:rsidR="002A08AF" w:rsidRPr="00BC2513">
        <w:rPr>
          <w:b/>
        </w:rPr>
        <w:tab/>
      </w:r>
      <w:r w:rsidR="004475AF" w:rsidRPr="00BC2513">
        <w:rPr>
          <w:b/>
        </w:rPr>
        <w:t>Consistency with the Wild and Scenic Rivers Act (83 Stat. 906)</w:t>
      </w:r>
    </w:p>
    <w:p w14:paraId="327214D8" w14:textId="77777777" w:rsidR="004475AF" w:rsidRPr="004F0C97" w:rsidRDefault="004475AF" w:rsidP="00F827C4"/>
    <w:p w14:paraId="327214D9" w14:textId="4CF7835F" w:rsidR="00746AEC" w:rsidRDefault="00E65195" w:rsidP="00AA703B">
      <w:pPr>
        <w:autoSpaceDE w:val="0"/>
        <w:autoSpaceDN w:val="0"/>
        <w:adjustRightInd w:val="0"/>
        <w:rPr>
          <w:rFonts w:cs="Calibri"/>
        </w:rPr>
      </w:pPr>
      <w:r>
        <w:rPr>
          <w:rFonts w:cs="Calibri"/>
        </w:rPr>
        <w:t>T</w:t>
      </w:r>
      <w:r w:rsidRPr="00E65195">
        <w:rPr>
          <w:rFonts w:cs="Calibri"/>
        </w:rPr>
        <w:t>he National Wild and Scenic Rivers Act, Public Law 100-557 (WSR Act)</w:t>
      </w:r>
      <w:r>
        <w:rPr>
          <w:rFonts w:cs="Calibri"/>
        </w:rPr>
        <w:t xml:space="preserve">, </w:t>
      </w:r>
      <w:r w:rsidR="00746AEC" w:rsidRPr="00BE76D3">
        <w:rPr>
          <w:rFonts w:cs="Calibri"/>
        </w:rPr>
        <w:t xml:space="preserve">designated </w:t>
      </w:r>
      <w:r>
        <w:rPr>
          <w:rFonts w:cs="Calibri"/>
        </w:rPr>
        <w:t xml:space="preserve">this segment of the John Day River </w:t>
      </w:r>
      <w:r w:rsidR="00746AEC" w:rsidRPr="00BE76D3">
        <w:rPr>
          <w:rFonts w:cs="Calibri"/>
        </w:rPr>
        <w:t xml:space="preserve">as a </w:t>
      </w:r>
      <w:r w:rsidR="00746AEC">
        <w:rPr>
          <w:rFonts w:cs="Calibri"/>
        </w:rPr>
        <w:t>r</w:t>
      </w:r>
      <w:r w:rsidR="00746AEC" w:rsidRPr="00BE76D3">
        <w:rPr>
          <w:rFonts w:cs="Calibri"/>
        </w:rPr>
        <w:t xml:space="preserve">ecreational </w:t>
      </w:r>
      <w:r w:rsidR="00746AEC">
        <w:rPr>
          <w:rFonts w:cs="Calibri"/>
        </w:rPr>
        <w:t>r</w:t>
      </w:r>
      <w:r w:rsidR="00746AEC" w:rsidRPr="00BE76D3">
        <w:rPr>
          <w:rFonts w:cs="Calibri"/>
        </w:rPr>
        <w:t xml:space="preserve">iver on October 28, 1988, creating a land withdrawal, serialized as OR-44721. </w:t>
      </w:r>
    </w:p>
    <w:p w14:paraId="327214DA" w14:textId="77777777" w:rsidR="00746AEC" w:rsidRDefault="00746AEC" w:rsidP="00AA703B">
      <w:pPr>
        <w:autoSpaceDE w:val="0"/>
        <w:autoSpaceDN w:val="0"/>
        <w:adjustRightInd w:val="0"/>
        <w:rPr>
          <w:rFonts w:cs="Calibri"/>
        </w:rPr>
      </w:pPr>
    </w:p>
    <w:p w14:paraId="327214DB" w14:textId="1C29D0D4" w:rsidR="00DD1485" w:rsidRPr="003070C4" w:rsidRDefault="00047631" w:rsidP="00AA703B">
      <w:pPr>
        <w:autoSpaceDE w:val="0"/>
        <w:autoSpaceDN w:val="0"/>
        <w:adjustRightInd w:val="0"/>
      </w:pPr>
      <w:r w:rsidRPr="00744812">
        <w:t>T</w:t>
      </w:r>
      <w:r w:rsidR="007F6332" w:rsidRPr="00744812">
        <w:t>he Federal land</w:t>
      </w:r>
      <w:r w:rsidR="002A08AF" w:rsidRPr="00744812">
        <w:t>s</w:t>
      </w:r>
      <w:r w:rsidR="007F6332" w:rsidRPr="00744812">
        <w:t xml:space="preserve"> </w:t>
      </w:r>
      <w:r w:rsidRPr="00744812">
        <w:t xml:space="preserve">are located both </w:t>
      </w:r>
      <w:r w:rsidR="007F6332" w:rsidRPr="00744812">
        <w:t xml:space="preserve">within and </w:t>
      </w:r>
      <w:r w:rsidRPr="00744812">
        <w:t>adjacent to</w:t>
      </w:r>
      <w:r w:rsidR="007F6332" w:rsidRPr="00744812">
        <w:t xml:space="preserve"> the </w:t>
      </w:r>
      <w:r w:rsidR="00476CE4" w:rsidRPr="00744812">
        <w:t xml:space="preserve">John Day </w:t>
      </w:r>
      <w:r w:rsidR="00746AEC" w:rsidRPr="00744812">
        <w:t xml:space="preserve">WSR corridor.  </w:t>
      </w:r>
      <w:r w:rsidR="00DD1485" w:rsidRPr="003070C4">
        <w:t xml:space="preserve">The </w:t>
      </w:r>
      <w:r w:rsidR="002A08AF" w:rsidRPr="003070C4">
        <w:t>e</w:t>
      </w:r>
      <w:r w:rsidR="00DD1485" w:rsidRPr="003070C4">
        <w:t xml:space="preserve">xchange of </w:t>
      </w:r>
      <w:r w:rsidR="002A08AF" w:rsidRPr="003070C4">
        <w:t>F</w:t>
      </w:r>
      <w:r w:rsidR="00DD1485" w:rsidRPr="003070C4">
        <w:t xml:space="preserve">ederal land within and </w:t>
      </w:r>
      <w:r w:rsidR="00C4287C" w:rsidRPr="003070C4">
        <w:t>adjacent to</w:t>
      </w:r>
      <w:r w:rsidR="002A08AF" w:rsidRPr="003070C4">
        <w:t xml:space="preserve"> </w:t>
      </w:r>
      <w:r w:rsidR="00DD1485" w:rsidRPr="003070C4">
        <w:t xml:space="preserve">the </w:t>
      </w:r>
      <w:r w:rsidR="00476CE4" w:rsidRPr="003070C4">
        <w:t xml:space="preserve">John Day </w:t>
      </w:r>
      <w:r w:rsidR="00DD1485" w:rsidRPr="003070C4">
        <w:t xml:space="preserve">WSR corridor for private land that is wholly within the </w:t>
      </w:r>
      <w:r w:rsidR="00476CE4" w:rsidRPr="003070C4">
        <w:t xml:space="preserve">John Day </w:t>
      </w:r>
      <w:r w:rsidR="00DD1485" w:rsidRPr="003070C4">
        <w:t>WSR corridor would appear to be permitted under the WSR</w:t>
      </w:r>
      <w:r w:rsidR="00021E44" w:rsidRPr="003070C4">
        <w:t xml:space="preserve"> </w:t>
      </w:r>
      <w:r w:rsidR="00DD1485" w:rsidRPr="003070C4">
        <w:t>A</w:t>
      </w:r>
      <w:r w:rsidR="00021E44" w:rsidRPr="003070C4">
        <w:t>ct</w:t>
      </w:r>
      <w:r w:rsidR="00DD1485" w:rsidRPr="003070C4">
        <w:t>.</w:t>
      </w:r>
      <w:r w:rsidR="00476CE4" w:rsidRPr="003070C4">
        <w:t xml:space="preserve">  </w:t>
      </w:r>
      <w:r w:rsidR="003742FC" w:rsidRPr="00744812">
        <w:t xml:space="preserve">  T</w:t>
      </w:r>
      <w:r w:rsidR="00476CE4" w:rsidRPr="00744812">
        <w:t xml:space="preserve">he </w:t>
      </w:r>
      <w:proofErr w:type="spellStart"/>
      <w:proofErr w:type="gramStart"/>
      <w:r w:rsidR="00476CE4" w:rsidRPr="00744812">
        <w:t>McGreer</w:t>
      </w:r>
      <w:proofErr w:type="spellEnd"/>
      <w:r w:rsidR="00476CE4" w:rsidRPr="00744812">
        <w:t xml:space="preserve"> Land Exchange </w:t>
      </w:r>
      <w:r w:rsidR="003742FC" w:rsidRPr="00744812">
        <w:t xml:space="preserve">is specifically authorized </w:t>
      </w:r>
      <w:r w:rsidR="00476CE4" w:rsidRPr="00744812">
        <w:t>b</w:t>
      </w:r>
      <w:r w:rsidR="003742FC" w:rsidRPr="00744812">
        <w:t>y</w:t>
      </w:r>
      <w:r w:rsidR="00476CE4" w:rsidRPr="00744812">
        <w:t xml:space="preserve"> </w:t>
      </w:r>
      <w:r w:rsidR="006447C1" w:rsidRPr="00744812">
        <w:t>the Omnibus Act</w:t>
      </w:r>
      <w:proofErr w:type="gramEnd"/>
      <w:r w:rsidR="005C027E">
        <w:t xml:space="preserve"> so it is clearly the intent of Congress for this exchange to be authorized even though a portion of the Federal land to be acquired by the private party was withdrawn as part of the Wild and Scenic River corridor by PL 100-557 (102 Stat. 2782, October 28, 1988)</w:t>
      </w:r>
      <w:r w:rsidR="00476CE4" w:rsidRPr="00744812">
        <w:t>.</w:t>
      </w:r>
    </w:p>
    <w:p w14:paraId="327214DC" w14:textId="77777777" w:rsidR="00DD1485" w:rsidRPr="00DD1485" w:rsidRDefault="00DD1485" w:rsidP="00AA703B">
      <w:pPr>
        <w:autoSpaceDE w:val="0"/>
        <w:autoSpaceDN w:val="0"/>
        <w:adjustRightInd w:val="0"/>
        <w:rPr>
          <w:b/>
          <w:u w:val="single"/>
        </w:rPr>
      </w:pPr>
    </w:p>
    <w:p w14:paraId="327214DD" w14:textId="054AE610" w:rsidR="00D353D9" w:rsidRPr="00BC2513" w:rsidRDefault="00685BC3" w:rsidP="00AA703B">
      <w:pPr>
        <w:autoSpaceDE w:val="0"/>
        <w:autoSpaceDN w:val="0"/>
        <w:adjustRightInd w:val="0"/>
        <w:rPr>
          <w:b/>
        </w:rPr>
      </w:pPr>
      <w:r>
        <w:rPr>
          <w:b/>
        </w:rPr>
        <w:t>4.2</w:t>
      </w:r>
      <w:r w:rsidR="002A08AF" w:rsidRPr="00BC2513">
        <w:rPr>
          <w:b/>
        </w:rPr>
        <w:tab/>
      </w:r>
      <w:r w:rsidR="00D353D9" w:rsidRPr="00BC2513">
        <w:rPr>
          <w:b/>
        </w:rPr>
        <w:t>Consistency with the Or</w:t>
      </w:r>
      <w:r w:rsidR="004A3CDF" w:rsidRPr="00BC2513">
        <w:rPr>
          <w:b/>
        </w:rPr>
        <w:t>egon State Scenic Waterways Act</w:t>
      </w:r>
    </w:p>
    <w:p w14:paraId="327214DE" w14:textId="77777777" w:rsidR="00E05BE2" w:rsidRDefault="00E05BE2" w:rsidP="00BE76D3">
      <w:pPr>
        <w:autoSpaceDE w:val="0"/>
        <w:autoSpaceDN w:val="0"/>
        <w:adjustRightInd w:val="0"/>
      </w:pPr>
    </w:p>
    <w:p w14:paraId="327214DF" w14:textId="5301F345" w:rsidR="00286992" w:rsidRPr="00286992" w:rsidRDefault="00AA703B" w:rsidP="00286992">
      <w:pPr>
        <w:pStyle w:val="CommentText"/>
        <w:rPr>
          <w:sz w:val="24"/>
          <w:szCs w:val="24"/>
        </w:rPr>
      </w:pPr>
      <w:r w:rsidRPr="00286992">
        <w:rPr>
          <w:sz w:val="24"/>
          <w:szCs w:val="24"/>
        </w:rPr>
        <w:t xml:space="preserve">The </w:t>
      </w:r>
      <w:r w:rsidR="00E65195" w:rsidRPr="00E65195">
        <w:rPr>
          <w:sz w:val="24"/>
          <w:szCs w:val="24"/>
        </w:rPr>
        <w:t>Oregon Scenic Waterways Act</w:t>
      </w:r>
      <w:r w:rsidR="00E65195">
        <w:rPr>
          <w:sz w:val="24"/>
          <w:szCs w:val="24"/>
        </w:rPr>
        <w:t xml:space="preserve"> </w:t>
      </w:r>
      <w:r w:rsidR="00E65195" w:rsidRPr="00E65195">
        <w:rPr>
          <w:sz w:val="24"/>
          <w:szCs w:val="24"/>
        </w:rPr>
        <w:t xml:space="preserve">designated </w:t>
      </w:r>
      <w:r w:rsidR="00E65195">
        <w:rPr>
          <w:sz w:val="24"/>
          <w:szCs w:val="24"/>
        </w:rPr>
        <w:t xml:space="preserve">the </w:t>
      </w:r>
      <w:r w:rsidRPr="00286992">
        <w:rPr>
          <w:sz w:val="24"/>
          <w:szCs w:val="24"/>
        </w:rPr>
        <w:t xml:space="preserve">John Day River system </w:t>
      </w:r>
      <w:r w:rsidR="00991BD5" w:rsidRPr="00286992">
        <w:rPr>
          <w:sz w:val="24"/>
          <w:szCs w:val="24"/>
        </w:rPr>
        <w:t xml:space="preserve">to </w:t>
      </w:r>
      <w:r w:rsidRPr="00286992">
        <w:rPr>
          <w:color w:val="231F20"/>
          <w:sz w:val="24"/>
          <w:szCs w:val="24"/>
        </w:rPr>
        <w:t>emphasize the protection of scenic, historic, natural</w:t>
      </w:r>
      <w:r w:rsidR="006F350C" w:rsidRPr="00286992">
        <w:rPr>
          <w:color w:val="231F20"/>
          <w:sz w:val="24"/>
          <w:szCs w:val="24"/>
        </w:rPr>
        <w:t>,</w:t>
      </w:r>
      <w:r w:rsidRPr="00286992">
        <w:rPr>
          <w:color w:val="231F20"/>
          <w:sz w:val="24"/>
          <w:szCs w:val="24"/>
        </w:rPr>
        <w:t xml:space="preserve"> and recreational qualities of the river.</w:t>
      </w:r>
      <w:r w:rsidR="00F732A0">
        <w:rPr>
          <w:color w:val="231F20"/>
          <w:sz w:val="24"/>
          <w:szCs w:val="24"/>
        </w:rPr>
        <w:t xml:space="preserve">  </w:t>
      </w:r>
      <w:r w:rsidRPr="00286992">
        <w:rPr>
          <w:color w:val="000000"/>
          <w:sz w:val="24"/>
          <w:szCs w:val="24"/>
        </w:rPr>
        <w:t>In 2005</w:t>
      </w:r>
      <w:r w:rsidR="006F350C" w:rsidRPr="00286992">
        <w:rPr>
          <w:color w:val="000000"/>
          <w:sz w:val="24"/>
          <w:szCs w:val="24"/>
        </w:rPr>
        <w:t>,</w:t>
      </w:r>
      <w:r w:rsidRPr="00286992">
        <w:rPr>
          <w:color w:val="000000"/>
          <w:sz w:val="24"/>
          <w:szCs w:val="24"/>
        </w:rPr>
        <w:t xml:space="preserve"> the </w:t>
      </w:r>
      <w:r w:rsidR="006F350C" w:rsidRPr="00286992">
        <w:rPr>
          <w:color w:val="000000"/>
          <w:sz w:val="24"/>
          <w:szCs w:val="24"/>
        </w:rPr>
        <w:t xml:space="preserve">Oregon </w:t>
      </w:r>
      <w:r w:rsidRPr="00286992">
        <w:rPr>
          <w:color w:val="000000"/>
          <w:sz w:val="24"/>
          <w:szCs w:val="24"/>
        </w:rPr>
        <w:t>State Land Board adopted the findings and conclusions of the John Day River navigability study</w:t>
      </w:r>
      <w:r w:rsidR="00E65195">
        <w:rPr>
          <w:color w:val="000000"/>
          <w:sz w:val="24"/>
          <w:szCs w:val="24"/>
        </w:rPr>
        <w:t>.  The study</w:t>
      </w:r>
      <w:r w:rsidRPr="00286992">
        <w:rPr>
          <w:color w:val="000000"/>
          <w:sz w:val="24"/>
          <w:szCs w:val="24"/>
        </w:rPr>
        <w:t xml:space="preserve"> determined the John Day River </w:t>
      </w:r>
      <w:r w:rsidR="00EA51F9" w:rsidRPr="00286992">
        <w:rPr>
          <w:color w:val="000000"/>
          <w:sz w:val="24"/>
          <w:szCs w:val="24"/>
        </w:rPr>
        <w:t xml:space="preserve">to be </w:t>
      </w:r>
      <w:r w:rsidRPr="00286992">
        <w:rPr>
          <w:color w:val="000000"/>
          <w:sz w:val="24"/>
          <w:szCs w:val="24"/>
        </w:rPr>
        <w:t xml:space="preserve">navigable from </w:t>
      </w:r>
      <w:r w:rsidR="00C40FA0" w:rsidRPr="00286992">
        <w:rPr>
          <w:color w:val="000000"/>
          <w:sz w:val="24"/>
          <w:szCs w:val="24"/>
        </w:rPr>
        <w:t xml:space="preserve">river miles </w:t>
      </w:r>
      <w:r w:rsidRPr="00286992">
        <w:rPr>
          <w:color w:val="000000"/>
          <w:sz w:val="24"/>
          <w:szCs w:val="24"/>
        </w:rPr>
        <w:t>10 to 184 and assert</w:t>
      </w:r>
      <w:r w:rsidR="00E65195">
        <w:rPr>
          <w:color w:val="000000"/>
          <w:sz w:val="24"/>
          <w:szCs w:val="24"/>
        </w:rPr>
        <w:t>ed</w:t>
      </w:r>
      <w:r w:rsidRPr="00286992">
        <w:rPr>
          <w:color w:val="000000"/>
          <w:sz w:val="24"/>
          <w:szCs w:val="24"/>
        </w:rPr>
        <w:t xml:space="preserve"> a </w:t>
      </w:r>
      <w:r w:rsidR="00D662DB" w:rsidRPr="00286992">
        <w:rPr>
          <w:color w:val="000000"/>
          <w:sz w:val="24"/>
          <w:szCs w:val="24"/>
        </w:rPr>
        <w:t>S</w:t>
      </w:r>
      <w:r w:rsidRPr="00286992">
        <w:rPr>
          <w:color w:val="000000"/>
          <w:sz w:val="24"/>
          <w:szCs w:val="24"/>
        </w:rPr>
        <w:t>tate claim to that section of the river below the ordinary high water line.  The Oregon Court of Appeals issued a decision supporting the navigability findings.</w:t>
      </w:r>
      <w:r w:rsidR="000C62DB" w:rsidRPr="00286992">
        <w:rPr>
          <w:color w:val="000000"/>
          <w:sz w:val="24"/>
          <w:szCs w:val="24"/>
        </w:rPr>
        <w:t xml:space="preserve"> </w:t>
      </w:r>
      <w:r w:rsidR="006C742C" w:rsidRPr="00286992">
        <w:rPr>
          <w:color w:val="000000"/>
          <w:sz w:val="24"/>
          <w:szCs w:val="24"/>
        </w:rPr>
        <w:t xml:space="preserve"> </w:t>
      </w:r>
      <w:r w:rsidR="00E65195" w:rsidRPr="00E65195">
        <w:rPr>
          <w:color w:val="000000"/>
          <w:sz w:val="24"/>
          <w:szCs w:val="24"/>
        </w:rPr>
        <w:t>The land exchange includes lands between river miles 132 and 111</w:t>
      </w:r>
      <w:r w:rsidR="00E65195">
        <w:rPr>
          <w:color w:val="000000"/>
          <w:sz w:val="24"/>
          <w:szCs w:val="24"/>
        </w:rPr>
        <w:t>,</w:t>
      </w:r>
      <w:r w:rsidR="00E65195" w:rsidRPr="00E65195">
        <w:rPr>
          <w:color w:val="000000"/>
          <w:sz w:val="24"/>
          <w:szCs w:val="24"/>
        </w:rPr>
        <w:t xml:space="preserve"> classified by the Oregon Scenic Waterways Act as a scenic river area.  </w:t>
      </w:r>
      <w:r w:rsidR="00286992" w:rsidRPr="00286992">
        <w:rPr>
          <w:sz w:val="24"/>
          <w:szCs w:val="24"/>
        </w:rPr>
        <w:t xml:space="preserve">This exchange is consistent with the State navigability determination.  </w:t>
      </w:r>
      <w:r w:rsidR="006447C1">
        <w:rPr>
          <w:sz w:val="24"/>
          <w:szCs w:val="24"/>
        </w:rPr>
        <w:t xml:space="preserve">The </w:t>
      </w:r>
      <w:r w:rsidR="00286992" w:rsidRPr="00286992">
        <w:rPr>
          <w:sz w:val="24"/>
          <w:szCs w:val="24"/>
        </w:rPr>
        <w:t xml:space="preserve">BLM recognizes the navigability findings and the State claim to the bed and banks below the ordinary high waterline. </w:t>
      </w:r>
    </w:p>
    <w:p w14:paraId="327214E0" w14:textId="77777777" w:rsidR="003D4D82" w:rsidRDefault="003D4D82" w:rsidP="004B468B">
      <w:pPr>
        <w:pStyle w:val="Style"/>
        <w:ind w:right="30"/>
        <w:rPr>
          <w:u w:val="single"/>
        </w:rPr>
      </w:pPr>
    </w:p>
    <w:p w14:paraId="539D3E1E" w14:textId="77777777" w:rsidR="006447C1" w:rsidRDefault="00685BC3" w:rsidP="006447C1">
      <w:pPr>
        <w:rPr>
          <w:b/>
        </w:rPr>
      </w:pPr>
      <w:r>
        <w:rPr>
          <w:b/>
        </w:rPr>
        <w:t>4.3</w:t>
      </w:r>
      <w:r w:rsidR="002A08AF" w:rsidRPr="00BC2513">
        <w:rPr>
          <w:b/>
        </w:rPr>
        <w:tab/>
      </w:r>
      <w:r w:rsidR="007758D0" w:rsidRPr="00BC2513">
        <w:rPr>
          <w:b/>
        </w:rPr>
        <w:t>Floodplains and Wetlands</w:t>
      </w:r>
    </w:p>
    <w:p w14:paraId="03BEBEF5" w14:textId="77777777" w:rsidR="006447C1" w:rsidRDefault="006447C1" w:rsidP="006447C1">
      <w:pPr>
        <w:rPr>
          <w:b/>
        </w:rPr>
      </w:pPr>
    </w:p>
    <w:p w14:paraId="327214E5" w14:textId="47B05EA6" w:rsidR="002A08AF" w:rsidRPr="006447C1" w:rsidRDefault="007758D0" w:rsidP="006447C1">
      <w:pPr>
        <w:rPr>
          <w:b/>
        </w:rPr>
      </w:pPr>
      <w:r w:rsidRPr="00096E23">
        <w:t>In accordance with Section 2(a)</w:t>
      </w:r>
      <w:r>
        <w:t xml:space="preserve"> </w:t>
      </w:r>
      <w:r w:rsidRPr="00096E23">
        <w:t>(2)</w:t>
      </w:r>
      <w:r>
        <w:t xml:space="preserve"> </w:t>
      </w:r>
      <w:r w:rsidRPr="00096E23">
        <w:t xml:space="preserve">(ii) of Executive Order 11988, portions of the Federal land </w:t>
      </w:r>
      <w:r w:rsidR="00F732A0">
        <w:t xml:space="preserve">to </w:t>
      </w:r>
      <w:proofErr w:type="gramStart"/>
      <w:r w:rsidR="00F732A0">
        <w:t xml:space="preserve">be </w:t>
      </w:r>
      <w:r>
        <w:t>exchange</w:t>
      </w:r>
      <w:r w:rsidR="00F732A0">
        <w:t>d</w:t>
      </w:r>
      <w:proofErr w:type="gramEnd"/>
      <w:r>
        <w:t xml:space="preserve"> </w:t>
      </w:r>
      <w:r w:rsidRPr="00096E23">
        <w:t>are within a floodplain.  The environmental</w:t>
      </w:r>
      <w:r>
        <w:t xml:space="preserve"> analysis for the exchange will</w:t>
      </w:r>
      <w:r w:rsidRPr="00096E23">
        <w:t xml:space="preserve"> </w:t>
      </w:r>
      <w:r>
        <w:t xml:space="preserve">consider </w:t>
      </w:r>
      <w:r w:rsidRPr="00096E23">
        <w:t xml:space="preserve">the effects of conveyance </w:t>
      </w:r>
      <w:r>
        <w:t xml:space="preserve">from </w:t>
      </w:r>
      <w:r w:rsidRPr="00096E23">
        <w:t>Federal ownership</w:t>
      </w:r>
      <w:r w:rsidR="006447C1">
        <w:t>,</w:t>
      </w:r>
      <w:r w:rsidRPr="00096E23">
        <w:t xml:space="preserve"> including the need for any restrictions on uses of the properties.</w:t>
      </w:r>
    </w:p>
    <w:p w14:paraId="327214E6" w14:textId="77777777" w:rsidR="002A08AF" w:rsidRDefault="002A08AF" w:rsidP="002A08AF"/>
    <w:p w14:paraId="327214E7" w14:textId="069D26F2" w:rsidR="007758D0" w:rsidRPr="00BC2513" w:rsidRDefault="00685BC3" w:rsidP="002A08AF">
      <w:pPr>
        <w:rPr>
          <w:b/>
        </w:rPr>
      </w:pPr>
      <w:r>
        <w:rPr>
          <w:b/>
          <w:bCs/>
          <w:color w:val="000000"/>
        </w:rPr>
        <w:t>4.4</w:t>
      </w:r>
      <w:r w:rsidR="002A08AF" w:rsidRPr="00BC2513">
        <w:rPr>
          <w:b/>
          <w:bCs/>
          <w:color w:val="000000"/>
        </w:rPr>
        <w:tab/>
      </w:r>
      <w:r w:rsidR="007758D0" w:rsidRPr="00BC2513">
        <w:rPr>
          <w:b/>
          <w:bCs/>
          <w:color w:val="000000"/>
        </w:rPr>
        <w:t xml:space="preserve">Facilitation of Hunting Heritage </w:t>
      </w:r>
      <w:r w:rsidR="00D662DB" w:rsidRPr="00BC2513">
        <w:rPr>
          <w:b/>
          <w:bCs/>
          <w:color w:val="000000"/>
        </w:rPr>
        <w:t>and</w:t>
      </w:r>
      <w:r w:rsidR="007758D0" w:rsidRPr="00BC2513">
        <w:rPr>
          <w:b/>
          <w:bCs/>
          <w:color w:val="000000"/>
        </w:rPr>
        <w:t xml:space="preserve"> Wildlife Conservation</w:t>
      </w:r>
    </w:p>
    <w:p w14:paraId="327214E8" w14:textId="77777777" w:rsidR="007758D0" w:rsidRDefault="007758D0" w:rsidP="007758D0">
      <w:pPr>
        <w:tabs>
          <w:tab w:val="num" w:pos="0"/>
        </w:tabs>
        <w:rPr>
          <w:bCs/>
          <w:color w:val="0070C0"/>
        </w:rPr>
      </w:pPr>
    </w:p>
    <w:p w14:paraId="327214E9" w14:textId="542BCF22" w:rsidR="00C4287C" w:rsidRDefault="007758D0" w:rsidP="007758D0">
      <w:pPr>
        <w:autoSpaceDE w:val="0"/>
        <w:autoSpaceDN w:val="0"/>
        <w:adjustRightInd w:val="0"/>
        <w:spacing w:line="240" w:lineRule="atLeast"/>
      </w:pPr>
      <w:r>
        <w:rPr>
          <w:bCs/>
        </w:rPr>
        <w:t xml:space="preserve">On August 17, 2007, </w:t>
      </w:r>
      <w:r w:rsidRPr="0010255D">
        <w:rPr>
          <w:bCs/>
        </w:rPr>
        <w:t>President</w:t>
      </w:r>
      <w:r>
        <w:rPr>
          <w:bCs/>
        </w:rPr>
        <w:t xml:space="preserve"> G.W. </w:t>
      </w:r>
      <w:r w:rsidRPr="0010255D">
        <w:rPr>
          <w:bCs/>
        </w:rPr>
        <w:t>Bush signed</w:t>
      </w:r>
      <w:r w:rsidR="00530D9C">
        <w:t xml:space="preserve"> Executive Order </w:t>
      </w:r>
      <w:r w:rsidRPr="0010255D">
        <w:t>13443</w:t>
      </w:r>
      <w:r w:rsidR="002A08AF">
        <w:t>,</w:t>
      </w:r>
      <w:r w:rsidRPr="0010255D">
        <w:t xml:space="preserve"> </w:t>
      </w:r>
      <w:r w:rsidR="00D662DB">
        <w:t>“</w:t>
      </w:r>
      <w:r w:rsidRPr="00D662DB">
        <w:rPr>
          <w:bCs/>
        </w:rPr>
        <w:t>Facilitation of Hunting Heritage and Wildlife Conservation</w:t>
      </w:r>
      <w:r w:rsidRPr="0010255D">
        <w:rPr>
          <w:bCs/>
        </w:rPr>
        <w:t>.</w:t>
      </w:r>
      <w:r w:rsidR="00D662DB">
        <w:rPr>
          <w:bCs/>
        </w:rPr>
        <w:t>”</w:t>
      </w:r>
      <w:r w:rsidR="00E65195">
        <w:rPr>
          <w:bCs/>
        </w:rPr>
        <w:t xml:space="preserve"> </w:t>
      </w:r>
      <w:r w:rsidRPr="0010255D">
        <w:rPr>
          <w:bCs/>
        </w:rPr>
        <w:t xml:space="preserve"> </w:t>
      </w:r>
      <w:r w:rsidRPr="0010255D">
        <w:t>The Order directs the Department of the Interior and its component agencies, bureaus</w:t>
      </w:r>
      <w:r w:rsidR="00D662DB">
        <w:t>,</w:t>
      </w:r>
      <w:r w:rsidRPr="0010255D">
        <w:t xml:space="preserve"> and offices </w:t>
      </w:r>
      <w:r w:rsidRPr="002A08AF">
        <w:t>to facilitate the expansion and enhancement of hunting opportunities and the management of game species and their habitat</w:t>
      </w:r>
      <w:r w:rsidR="006447C1">
        <w:t>s</w:t>
      </w:r>
      <w:r w:rsidRPr="002A08AF">
        <w:t>.</w:t>
      </w:r>
      <w:r w:rsidRPr="0010255D">
        <w:t xml:space="preserve">  </w:t>
      </w:r>
    </w:p>
    <w:p w14:paraId="327214EA" w14:textId="77777777" w:rsidR="00C4287C" w:rsidRDefault="00C4287C" w:rsidP="007758D0">
      <w:pPr>
        <w:autoSpaceDE w:val="0"/>
        <w:autoSpaceDN w:val="0"/>
        <w:adjustRightInd w:val="0"/>
        <w:spacing w:line="240" w:lineRule="atLeast"/>
      </w:pPr>
    </w:p>
    <w:p w14:paraId="327214EB" w14:textId="1B20326D" w:rsidR="007758D0" w:rsidRDefault="00530D9C" w:rsidP="007758D0">
      <w:pPr>
        <w:autoSpaceDE w:val="0"/>
        <w:autoSpaceDN w:val="0"/>
        <w:adjustRightInd w:val="0"/>
        <w:spacing w:line="240" w:lineRule="atLeast"/>
        <w:rPr>
          <w:color w:val="000000"/>
        </w:rPr>
      </w:pPr>
      <w:r>
        <w:t>Acquisition of the</w:t>
      </w:r>
      <w:r w:rsidR="007758D0">
        <w:rPr>
          <w:color w:val="000000"/>
        </w:rPr>
        <w:t xml:space="preserve"> </w:t>
      </w:r>
      <w:r w:rsidR="00C4287C">
        <w:rPr>
          <w:color w:val="000000"/>
        </w:rPr>
        <w:t xml:space="preserve">non-Federal </w:t>
      </w:r>
      <w:r w:rsidR="007758D0">
        <w:rPr>
          <w:color w:val="000000"/>
        </w:rPr>
        <w:t xml:space="preserve">property </w:t>
      </w:r>
      <w:r w:rsidR="00A932AC">
        <w:rPr>
          <w:color w:val="000000"/>
        </w:rPr>
        <w:t xml:space="preserve">provides public </w:t>
      </w:r>
      <w:r w:rsidR="00B3446A">
        <w:rPr>
          <w:color w:val="000000"/>
        </w:rPr>
        <w:t>access</w:t>
      </w:r>
      <w:r w:rsidR="00A932AC">
        <w:rPr>
          <w:color w:val="000000"/>
        </w:rPr>
        <w:t xml:space="preserve"> to the river </w:t>
      </w:r>
      <w:r w:rsidR="00B3446A">
        <w:rPr>
          <w:color w:val="000000"/>
        </w:rPr>
        <w:t xml:space="preserve">and </w:t>
      </w:r>
      <w:r w:rsidR="00286992" w:rsidRPr="00286992">
        <w:rPr>
          <w:color w:val="000000"/>
        </w:rPr>
        <w:t>expand</w:t>
      </w:r>
      <w:r w:rsidR="00A932AC">
        <w:rPr>
          <w:color w:val="000000"/>
        </w:rPr>
        <w:t>s</w:t>
      </w:r>
      <w:r w:rsidR="00286992" w:rsidRPr="00286992">
        <w:rPr>
          <w:color w:val="000000"/>
        </w:rPr>
        <w:t xml:space="preserve"> </w:t>
      </w:r>
      <w:r w:rsidR="00A932AC">
        <w:rPr>
          <w:color w:val="000000"/>
        </w:rPr>
        <w:t xml:space="preserve">fishing and </w:t>
      </w:r>
      <w:r w:rsidR="00286992" w:rsidRPr="00286992">
        <w:rPr>
          <w:color w:val="000000"/>
        </w:rPr>
        <w:t>hun</w:t>
      </w:r>
      <w:r w:rsidR="00286992">
        <w:rPr>
          <w:color w:val="000000"/>
        </w:rPr>
        <w:t>ting opportunities</w:t>
      </w:r>
      <w:r w:rsidR="00B3446A">
        <w:rPr>
          <w:color w:val="000000"/>
        </w:rPr>
        <w:t>.</w:t>
      </w:r>
    </w:p>
    <w:p w14:paraId="327214EC" w14:textId="77777777" w:rsidR="007758D0" w:rsidRDefault="007758D0" w:rsidP="007758D0">
      <w:pPr>
        <w:autoSpaceDE w:val="0"/>
        <w:autoSpaceDN w:val="0"/>
        <w:adjustRightInd w:val="0"/>
        <w:spacing w:line="240" w:lineRule="atLeast"/>
        <w:rPr>
          <w:color w:val="000000"/>
        </w:rPr>
      </w:pPr>
    </w:p>
    <w:p w14:paraId="327214ED" w14:textId="341D521E" w:rsidR="007758D0" w:rsidRPr="0010255D" w:rsidRDefault="007758D0" w:rsidP="007758D0">
      <w:pPr>
        <w:autoSpaceDE w:val="0"/>
        <w:autoSpaceDN w:val="0"/>
        <w:adjustRightInd w:val="0"/>
        <w:spacing w:line="240" w:lineRule="atLeast"/>
        <w:rPr>
          <w:rFonts w:cs="Calibri"/>
        </w:rPr>
      </w:pPr>
      <w:r w:rsidRPr="00BE76D3">
        <w:rPr>
          <w:rFonts w:cs="Calibri"/>
        </w:rPr>
        <w:t>Convey</w:t>
      </w:r>
      <w:r w:rsidR="00C4287C">
        <w:rPr>
          <w:rFonts w:cs="Calibri"/>
        </w:rPr>
        <w:t xml:space="preserve">ance of the Federal land </w:t>
      </w:r>
      <w:r w:rsidRPr="00135B5E">
        <w:rPr>
          <w:color w:val="000000"/>
        </w:rPr>
        <w:t xml:space="preserve">would </w:t>
      </w:r>
      <w:r>
        <w:rPr>
          <w:color w:val="000000"/>
        </w:rPr>
        <w:t xml:space="preserve">not </w:t>
      </w:r>
      <w:r w:rsidR="00C4287C">
        <w:rPr>
          <w:color w:val="000000"/>
        </w:rPr>
        <w:t xml:space="preserve">diminish </w:t>
      </w:r>
      <w:r w:rsidRPr="00135B5E">
        <w:rPr>
          <w:color w:val="000000"/>
        </w:rPr>
        <w:t>public hunting opportunities</w:t>
      </w:r>
      <w:r w:rsidR="00F35B5B">
        <w:rPr>
          <w:color w:val="000000"/>
        </w:rPr>
        <w:t xml:space="preserve"> since t</w:t>
      </w:r>
      <w:r w:rsidR="00C4287C">
        <w:rPr>
          <w:color w:val="000000"/>
        </w:rPr>
        <w:t xml:space="preserve">here is no </w:t>
      </w:r>
      <w:r w:rsidR="00B3446A">
        <w:rPr>
          <w:color w:val="000000"/>
        </w:rPr>
        <w:t xml:space="preserve">public </w:t>
      </w:r>
      <w:r w:rsidR="00C4287C">
        <w:rPr>
          <w:color w:val="000000"/>
        </w:rPr>
        <w:t xml:space="preserve">hunting activity due to lack of </w:t>
      </w:r>
      <w:r w:rsidR="007A6AAB">
        <w:rPr>
          <w:color w:val="000000"/>
        </w:rPr>
        <w:t xml:space="preserve">legal </w:t>
      </w:r>
      <w:r w:rsidR="00952DFF">
        <w:rPr>
          <w:color w:val="000000"/>
        </w:rPr>
        <w:t>road access</w:t>
      </w:r>
      <w:r w:rsidR="002720B9">
        <w:rPr>
          <w:color w:val="000000"/>
        </w:rPr>
        <w:t xml:space="preserve">. </w:t>
      </w:r>
      <w:r w:rsidR="00E65195">
        <w:rPr>
          <w:color w:val="000000"/>
        </w:rPr>
        <w:t xml:space="preserve"> </w:t>
      </w:r>
    </w:p>
    <w:p w14:paraId="30FFDBE3" w14:textId="24F5C80E" w:rsidR="00997A0C" w:rsidRDefault="00997A0C">
      <w:pPr>
        <w:rPr>
          <w:rFonts w:eastAsia="Calibri"/>
          <w:b/>
        </w:rPr>
      </w:pPr>
    </w:p>
    <w:p w14:paraId="327214EF" w14:textId="4842428C" w:rsidR="00991BD5" w:rsidRPr="00BC2513" w:rsidRDefault="00685BC3" w:rsidP="00991BD5">
      <w:pPr>
        <w:pStyle w:val="msonospacing0"/>
        <w:rPr>
          <w:rFonts w:ascii="Times New Roman" w:hAnsi="Times New Roman"/>
          <w:b/>
          <w:sz w:val="24"/>
          <w:szCs w:val="24"/>
        </w:rPr>
      </w:pPr>
      <w:r>
        <w:rPr>
          <w:rFonts w:ascii="Times New Roman" w:hAnsi="Times New Roman"/>
          <w:b/>
          <w:sz w:val="24"/>
          <w:szCs w:val="24"/>
        </w:rPr>
        <w:lastRenderedPageBreak/>
        <w:t>4.5</w:t>
      </w:r>
      <w:r w:rsidR="002A08AF" w:rsidRPr="00BC2513">
        <w:rPr>
          <w:rFonts w:ascii="Times New Roman" w:hAnsi="Times New Roman"/>
          <w:b/>
          <w:sz w:val="24"/>
          <w:szCs w:val="24"/>
        </w:rPr>
        <w:tab/>
      </w:r>
      <w:r w:rsidR="007758D0" w:rsidRPr="00BC2513">
        <w:rPr>
          <w:rFonts w:ascii="Times New Roman" w:hAnsi="Times New Roman"/>
          <w:b/>
          <w:sz w:val="24"/>
          <w:szCs w:val="24"/>
        </w:rPr>
        <w:t xml:space="preserve">Consistency with </w:t>
      </w:r>
      <w:r w:rsidR="00364A60" w:rsidRPr="00BC2513">
        <w:rPr>
          <w:rFonts w:ascii="Times New Roman" w:hAnsi="Times New Roman"/>
          <w:b/>
          <w:sz w:val="24"/>
          <w:szCs w:val="24"/>
        </w:rPr>
        <w:t xml:space="preserve">State and </w:t>
      </w:r>
      <w:r w:rsidR="00991BD5" w:rsidRPr="00BC2513">
        <w:rPr>
          <w:rFonts w:ascii="Times New Roman" w:hAnsi="Times New Roman"/>
          <w:b/>
          <w:sz w:val="24"/>
          <w:szCs w:val="24"/>
        </w:rPr>
        <w:t>Local Planning Requirements</w:t>
      </w:r>
    </w:p>
    <w:p w14:paraId="327214F0" w14:textId="77777777" w:rsidR="00991BD5" w:rsidRPr="00422DAE" w:rsidRDefault="00991BD5" w:rsidP="00991BD5">
      <w:pPr>
        <w:pStyle w:val="msonospacing0"/>
        <w:rPr>
          <w:rFonts w:ascii="Times New Roman" w:hAnsi="Times New Roman"/>
          <w:sz w:val="24"/>
          <w:szCs w:val="24"/>
        </w:rPr>
      </w:pPr>
    </w:p>
    <w:p w14:paraId="327214F1" w14:textId="21F20CF9" w:rsidR="008326B0" w:rsidRPr="009C16B9" w:rsidRDefault="00FC7BAE" w:rsidP="008326B0">
      <w:pPr>
        <w:pStyle w:val="Style"/>
        <w:ind w:right="10"/>
      </w:pPr>
      <w:r>
        <w:t xml:space="preserve">In </w:t>
      </w:r>
      <w:r w:rsidR="00FC5D42">
        <w:t>Oregon</w:t>
      </w:r>
      <w:r>
        <w:t xml:space="preserve">, </w:t>
      </w:r>
      <w:proofErr w:type="gramStart"/>
      <w:r>
        <w:t xml:space="preserve">State </w:t>
      </w:r>
      <w:r w:rsidR="008326B0" w:rsidRPr="000745AD">
        <w:t xml:space="preserve">land use laws </w:t>
      </w:r>
      <w:r>
        <w:t xml:space="preserve">are </w:t>
      </w:r>
      <w:r w:rsidR="008326B0" w:rsidRPr="000745AD">
        <w:t xml:space="preserve">administered </w:t>
      </w:r>
      <w:r>
        <w:t xml:space="preserve">locally </w:t>
      </w:r>
      <w:r w:rsidR="008326B0" w:rsidRPr="000745AD">
        <w:t xml:space="preserve">by </w:t>
      </w:r>
      <w:r w:rsidR="002A08AF">
        <w:t>c</w:t>
      </w:r>
      <w:r w:rsidR="008326B0" w:rsidRPr="000745AD">
        <w:t xml:space="preserve">ounty planning departments </w:t>
      </w:r>
      <w:r>
        <w:t xml:space="preserve">that </w:t>
      </w:r>
      <w:r w:rsidR="008326B0" w:rsidRPr="000745AD">
        <w:t xml:space="preserve">require land partitions or property line adjustments </w:t>
      </w:r>
      <w:r>
        <w:t xml:space="preserve">when individual parcels are created or tracts are </w:t>
      </w:r>
      <w:r w:rsidR="00BA6002">
        <w:t xml:space="preserve">conveyed and </w:t>
      </w:r>
      <w:r>
        <w:t>assembled into the adjacent ownership</w:t>
      </w:r>
      <w:proofErr w:type="gramEnd"/>
      <w:r>
        <w:t xml:space="preserve">.  </w:t>
      </w:r>
      <w:r w:rsidR="008326B0" w:rsidRPr="000745AD">
        <w:t xml:space="preserve">A property line adjustment provides for the relocation of a common boundary and is </w:t>
      </w:r>
      <w:r w:rsidR="008326B0">
        <w:t xml:space="preserve">a </w:t>
      </w:r>
      <w:r w:rsidR="008326B0" w:rsidRPr="000745AD">
        <w:t>necessary</w:t>
      </w:r>
      <w:r w:rsidR="00D662DB">
        <w:t xml:space="preserve"> step to e</w:t>
      </w:r>
      <w:r w:rsidR="008326B0">
        <w:t xml:space="preserve">nsure that </w:t>
      </w:r>
      <w:r w:rsidR="008326B0" w:rsidRPr="000745AD">
        <w:t xml:space="preserve">the exchange </w:t>
      </w:r>
      <w:r w:rsidR="008326B0">
        <w:t>c</w:t>
      </w:r>
      <w:r w:rsidR="008326B0" w:rsidRPr="000745AD">
        <w:t>ompl</w:t>
      </w:r>
      <w:r w:rsidR="008326B0">
        <w:t>ies</w:t>
      </w:r>
      <w:r w:rsidR="008326B0" w:rsidRPr="000745AD">
        <w:t xml:space="preserve"> with </w:t>
      </w:r>
      <w:r w:rsidR="00893A16">
        <w:t xml:space="preserve">Oregon </w:t>
      </w:r>
      <w:r w:rsidR="008326B0" w:rsidRPr="000745AD">
        <w:t xml:space="preserve">State land use laws </w:t>
      </w:r>
      <w:r w:rsidR="00BA6002">
        <w:t xml:space="preserve">and county codes.  Deeds and patents </w:t>
      </w:r>
      <w:proofErr w:type="gramStart"/>
      <w:r w:rsidR="00BA6002">
        <w:t>are recorded</w:t>
      </w:r>
      <w:proofErr w:type="gramEnd"/>
      <w:r w:rsidR="00BA6002">
        <w:t xml:space="preserve"> with the County Clerk.</w:t>
      </w:r>
    </w:p>
    <w:p w14:paraId="327214F2" w14:textId="77777777" w:rsidR="008326B0" w:rsidRPr="009C16B9" w:rsidRDefault="008326B0" w:rsidP="008326B0">
      <w:pPr>
        <w:pStyle w:val="msonospacing0"/>
        <w:rPr>
          <w:rFonts w:ascii="Times New Roman" w:hAnsi="Times New Roman"/>
          <w:sz w:val="24"/>
          <w:szCs w:val="24"/>
        </w:rPr>
      </w:pPr>
    </w:p>
    <w:p w14:paraId="327214F3" w14:textId="3EBB579F" w:rsidR="008326B0" w:rsidRPr="009C16B9" w:rsidRDefault="008326B0" w:rsidP="008326B0">
      <w:pPr>
        <w:pStyle w:val="msonospacing0"/>
        <w:rPr>
          <w:rFonts w:ascii="Times New Roman" w:hAnsi="Times New Roman"/>
          <w:sz w:val="24"/>
          <w:szCs w:val="24"/>
        </w:rPr>
      </w:pPr>
      <w:r w:rsidRPr="009C16B9">
        <w:rPr>
          <w:rFonts w:ascii="Times New Roman" w:hAnsi="Times New Roman"/>
          <w:sz w:val="24"/>
          <w:szCs w:val="24"/>
        </w:rPr>
        <w:t xml:space="preserve">The non-Federal </w:t>
      </w:r>
      <w:r w:rsidR="002720B9">
        <w:rPr>
          <w:rFonts w:ascii="Times New Roman" w:hAnsi="Times New Roman"/>
          <w:sz w:val="24"/>
          <w:szCs w:val="24"/>
        </w:rPr>
        <w:t>land</w:t>
      </w:r>
      <w:r w:rsidRPr="009C16B9">
        <w:rPr>
          <w:rFonts w:ascii="Times New Roman" w:hAnsi="Times New Roman"/>
          <w:sz w:val="24"/>
          <w:szCs w:val="24"/>
        </w:rPr>
        <w:t xml:space="preserve"> </w:t>
      </w:r>
      <w:r w:rsidR="00F35B5B">
        <w:rPr>
          <w:rFonts w:ascii="Times New Roman" w:hAnsi="Times New Roman"/>
          <w:sz w:val="24"/>
          <w:szCs w:val="24"/>
        </w:rPr>
        <w:t>is</w:t>
      </w:r>
      <w:r w:rsidRPr="009C16B9">
        <w:rPr>
          <w:rFonts w:ascii="Times New Roman" w:hAnsi="Times New Roman"/>
          <w:sz w:val="24"/>
          <w:szCs w:val="24"/>
        </w:rPr>
        <w:t xml:space="preserve"> located in Wheeler County</w:t>
      </w:r>
      <w:r w:rsidR="002720B9">
        <w:rPr>
          <w:rFonts w:ascii="Times New Roman" w:hAnsi="Times New Roman"/>
          <w:sz w:val="24"/>
          <w:szCs w:val="24"/>
        </w:rPr>
        <w:t>.  T</w:t>
      </w:r>
      <w:r w:rsidRPr="009C16B9">
        <w:rPr>
          <w:rFonts w:ascii="Times New Roman" w:hAnsi="Times New Roman"/>
          <w:sz w:val="24"/>
          <w:szCs w:val="24"/>
        </w:rPr>
        <w:t xml:space="preserve">he Federal parcel is located in Wasco County.  Both </w:t>
      </w:r>
      <w:r w:rsidR="002720B9">
        <w:rPr>
          <w:rFonts w:ascii="Times New Roman" w:hAnsi="Times New Roman"/>
          <w:sz w:val="24"/>
          <w:szCs w:val="24"/>
        </w:rPr>
        <w:t>the non-Federal and Federal lands</w:t>
      </w:r>
      <w:r w:rsidRPr="009C16B9">
        <w:rPr>
          <w:rFonts w:ascii="Times New Roman" w:hAnsi="Times New Roman"/>
          <w:sz w:val="24"/>
          <w:szCs w:val="24"/>
        </w:rPr>
        <w:t xml:space="preserve"> are zoned Exclusive Farm Use in the comprehensive plans of the respective counties.  The </w:t>
      </w:r>
      <w:r w:rsidR="00E65195">
        <w:rPr>
          <w:rFonts w:ascii="Times New Roman" w:hAnsi="Times New Roman"/>
          <w:sz w:val="24"/>
          <w:szCs w:val="24"/>
        </w:rPr>
        <w:t xml:space="preserve">following describes </w:t>
      </w:r>
      <w:r w:rsidRPr="009C16B9">
        <w:rPr>
          <w:rFonts w:ascii="Times New Roman" w:hAnsi="Times New Roman"/>
          <w:sz w:val="24"/>
          <w:szCs w:val="24"/>
        </w:rPr>
        <w:t xml:space="preserve">State and local land use planning </w:t>
      </w:r>
      <w:r>
        <w:rPr>
          <w:rFonts w:ascii="Times New Roman" w:hAnsi="Times New Roman"/>
          <w:sz w:val="24"/>
          <w:szCs w:val="24"/>
        </w:rPr>
        <w:t>considerations</w:t>
      </w:r>
      <w:r w:rsidRPr="009C16B9">
        <w:rPr>
          <w:rFonts w:ascii="Times New Roman" w:hAnsi="Times New Roman"/>
          <w:sz w:val="24"/>
          <w:szCs w:val="24"/>
        </w:rPr>
        <w:t>:</w:t>
      </w:r>
    </w:p>
    <w:p w14:paraId="327214F4" w14:textId="77777777" w:rsidR="008326B0" w:rsidRPr="00BB3872" w:rsidRDefault="008326B0" w:rsidP="008326B0">
      <w:pPr>
        <w:pStyle w:val="msonospacing0"/>
        <w:rPr>
          <w:rFonts w:ascii="Times New Roman" w:hAnsi="Times New Roman"/>
          <w:sz w:val="24"/>
          <w:szCs w:val="24"/>
        </w:rPr>
      </w:pPr>
    </w:p>
    <w:p w14:paraId="1D0DA611" w14:textId="2B2B8779" w:rsidR="00A932AC" w:rsidRDefault="006B0DFB" w:rsidP="006447C1">
      <w:pPr>
        <w:pStyle w:val="ListParagraph"/>
        <w:numPr>
          <w:ilvl w:val="0"/>
          <w:numId w:val="29"/>
        </w:numPr>
        <w:autoSpaceDE w:val="0"/>
        <w:autoSpaceDN w:val="0"/>
        <w:adjustRightInd w:val="0"/>
        <w:spacing w:line="240" w:lineRule="atLeast"/>
        <w:ind w:left="1080"/>
        <w:rPr>
          <w:color w:val="000000"/>
        </w:rPr>
      </w:pPr>
      <w:r>
        <w:rPr>
          <w:color w:val="000000"/>
        </w:rPr>
        <w:t>T</w:t>
      </w:r>
      <w:r w:rsidR="008326B0" w:rsidRPr="00A932AC">
        <w:rPr>
          <w:color w:val="000000"/>
        </w:rPr>
        <w:t xml:space="preserve">ax </w:t>
      </w:r>
      <w:r>
        <w:rPr>
          <w:color w:val="000000"/>
        </w:rPr>
        <w:t>L</w:t>
      </w:r>
      <w:r w:rsidR="008326B0" w:rsidRPr="00A932AC">
        <w:rPr>
          <w:color w:val="000000"/>
        </w:rPr>
        <w:t xml:space="preserve">ot 902 </w:t>
      </w:r>
      <w:proofErr w:type="gramStart"/>
      <w:r w:rsidR="008326B0" w:rsidRPr="00A932AC">
        <w:rPr>
          <w:color w:val="000000"/>
        </w:rPr>
        <w:t xml:space="preserve">is </w:t>
      </w:r>
      <w:r w:rsidR="00BA6002">
        <w:rPr>
          <w:color w:val="000000"/>
        </w:rPr>
        <w:t>situated</w:t>
      </w:r>
      <w:proofErr w:type="gramEnd"/>
      <w:r w:rsidR="00BA6002">
        <w:rPr>
          <w:color w:val="000000"/>
        </w:rPr>
        <w:t xml:space="preserve"> </w:t>
      </w:r>
      <w:r w:rsidR="008326B0" w:rsidRPr="00A932AC">
        <w:rPr>
          <w:color w:val="000000"/>
        </w:rPr>
        <w:t xml:space="preserve">on the east side of the John Day River in Wheeler County.  Since this is an individual tax lot, it could </w:t>
      </w:r>
      <w:r w:rsidR="00160536" w:rsidRPr="00A932AC">
        <w:rPr>
          <w:color w:val="000000"/>
        </w:rPr>
        <w:t>assemble</w:t>
      </w:r>
      <w:r w:rsidR="008326B0" w:rsidRPr="00A932AC">
        <w:rPr>
          <w:color w:val="000000"/>
        </w:rPr>
        <w:t xml:space="preserve"> into the contiguous Federal </w:t>
      </w:r>
      <w:r>
        <w:rPr>
          <w:color w:val="000000"/>
        </w:rPr>
        <w:t>T</w:t>
      </w:r>
      <w:r w:rsidR="008326B0" w:rsidRPr="00A932AC">
        <w:rPr>
          <w:color w:val="000000"/>
        </w:rPr>
        <w:t xml:space="preserve">ax </w:t>
      </w:r>
      <w:r>
        <w:rPr>
          <w:color w:val="000000"/>
        </w:rPr>
        <w:t>L</w:t>
      </w:r>
      <w:r w:rsidR="008326B0" w:rsidRPr="00A932AC">
        <w:rPr>
          <w:color w:val="000000"/>
        </w:rPr>
        <w:t xml:space="preserve">ot 400 following the exchange through a “Combine and Cancel” process, in lieu of a property line adjustment.  </w:t>
      </w:r>
      <w:r w:rsidR="00B3446A" w:rsidRPr="00A932AC">
        <w:rPr>
          <w:color w:val="000000"/>
        </w:rPr>
        <w:t>The Wheeler County Assessor</w:t>
      </w:r>
      <w:r w:rsidR="00160536" w:rsidRPr="00A932AC">
        <w:rPr>
          <w:color w:val="000000"/>
        </w:rPr>
        <w:t xml:space="preserve"> would </w:t>
      </w:r>
      <w:r w:rsidR="002720B9" w:rsidRPr="00A932AC">
        <w:rPr>
          <w:color w:val="000000"/>
        </w:rPr>
        <w:t>complete</w:t>
      </w:r>
      <w:r w:rsidR="008326B0" w:rsidRPr="00A932AC">
        <w:rPr>
          <w:color w:val="000000"/>
        </w:rPr>
        <w:t xml:space="preserve"> </w:t>
      </w:r>
      <w:r w:rsidR="00B3446A" w:rsidRPr="00A932AC">
        <w:rPr>
          <w:color w:val="000000"/>
        </w:rPr>
        <w:t>this</w:t>
      </w:r>
      <w:r w:rsidR="00EC0DC4" w:rsidRPr="00A932AC">
        <w:rPr>
          <w:color w:val="000000"/>
        </w:rPr>
        <w:t xml:space="preserve"> </w:t>
      </w:r>
      <w:r w:rsidR="008326B0" w:rsidRPr="00A932AC">
        <w:rPr>
          <w:color w:val="000000"/>
        </w:rPr>
        <w:t xml:space="preserve">in accordance with </w:t>
      </w:r>
      <w:r w:rsidR="002720B9" w:rsidRPr="00A932AC">
        <w:rPr>
          <w:color w:val="000000"/>
        </w:rPr>
        <w:t xml:space="preserve">the following </w:t>
      </w:r>
      <w:r w:rsidR="008326B0" w:rsidRPr="00A932AC">
        <w:rPr>
          <w:color w:val="000000"/>
        </w:rPr>
        <w:t>criteria</w:t>
      </w:r>
      <w:r w:rsidR="002720B9" w:rsidRPr="00A932AC">
        <w:rPr>
          <w:color w:val="000000"/>
        </w:rPr>
        <w:t>:</w:t>
      </w:r>
      <w:r w:rsidR="008326B0" w:rsidRPr="00A932AC">
        <w:rPr>
          <w:color w:val="000000"/>
        </w:rPr>
        <w:t xml:space="preserve"> </w:t>
      </w:r>
      <w:r>
        <w:rPr>
          <w:color w:val="000000"/>
        </w:rPr>
        <w:t xml:space="preserve"> </w:t>
      </w:r>
      <w:r w:rsidR="002720B9" w:rsidRPr="00A932AC">
        <w:rPr>
          <w:color w:val="000000"/>
        </w:rPr>
        <w:t xml:space="preserve">there are </w:t>
      </w:r>
      <w:r w:rsidR="008326B0" w:rsidRPr="00A932AC">
        <w:rPr>
          <w:color w:val="000000"/>
        </w:rPr>
        <w:t>no delinquent taxes</w:t>
      </w:r>
      <w:r w:rsidR="006447C1">
        <w:rPr>
          <w:color w:val="000000"/>
        </w:rPr>
        <w:t>,</w:t>
      </w:r>
      <w:r w:rsidR="008326B0" w:rsidRPr="00A932AC">
        <w:rPr>
          <w:color w:val="000000"/>
        </w:rPr>
        <w:t xml:space="preserve"> the parcels are contiguous</w:t>
      </w:r>
      <w:r w:rsidR="006447C1">
        <w:rPr>
          <w:color w:val="000000"/>
        </w:rPr>
        <w:t>,</w:t>
      </w:r>
      <w:r w:rsidR="008326B0" w:rsidRPr="00A932AC">
        <w:rPr>
          <w:color w:val="000000"/>
        </w:rPr>
        <w:t xml:space="preserve"> </w:t>
      </w:r>
      <w:r w:rsidR="00D662DB" w:rsidRPr="00A932AC">
        <w:rPr>
          <w:color w:val="000000"/>
        </w:rPr>
        <w:t xml:space="preserve">the </w:t>
      </w:r>
      <w:proofErr w:type="gramStart"/>
      <w:r w:rsidR="008326B0" w:rsidRPr="00A932AC">
        <w:rPr>
          <w:color w:val="000000"/>
        </w:rPr>
        <w:t>property</w:t>
      </w:r>
      <w:proofErr w:type="gramEnd"/>
      <w:r w:rsidR="008326B0" w:rsidRPr="00A932AC">
        <w:rPr>
          <w:color w:val="000000"/>
        </w:rPr>
        <w:t xml:space="preserve"> classes are compatible</w:t>
      </w:r>
      <w:r w:rsidR="006447C1">
        <w:rPr>
          <w:color w:val="000000"/>
        </w:rPr>
        <w:t>,</w:t>
      </w:r>
      <w:r w:rsidR="002720B9" w:rsidRPr="00A932AC">
        <w:rPr>
          <w:color w:val="000000"/>
        </w:rPr>
        <w:t xml:space="preserve"> </w:t>
      </w:r>
      <w:r w:rsidR="008326B0" w:rsidRPr="00A932AC">
        <w:rPr>
          <w:color w:val="000000"/>
        </w:rPr>
        <w:t>and</w:t>
      </w:r>
      <w:r w:rsidR="002720B9" w:rsidRPr="00A932AC">
        <w:rPr>
          <w:color w:val="000000"/>
        </w:rPr>
        <w:t xml:space="preserve"> the parcels</w:t>
      </w:r>
      <w:r w:rsidR="008326B0" w:rsidRPr="00A932AC">
        <w:rPr>
          <w:color w:val="000000"/>
        </w:rPr>
        <w:t xml:space="preserve"> </w:t>
      </w:r>
      <w:r w:rsidR="00752607" w:rsidRPr="00A932AC">
        <w:rPr>
          <w:color w:val="000000"/>
        </w:rPr>
        <w:t>have the</w:t>
      </w:r>
      <w:r w:rsidR="008326B0" w:rsidRPr="00A932AC">
        <w:rPr>
          <w:color w:val="000000"/>
        </w:rPr>
        <w:t xml:space="preserve"> same ownership interests.  </w:t>
      </w:r>
      <w:r w:rsidR="00BA6002">
        <w:rPr>
          <w:color w:val="000000"/>
        </w:rPr>
        <w:t xml:space="preserve">Hugh Kelly and Rosemary </w:t>
      </w:r>
      <w:proofErr w:type="spellStart"/>
      <w:r w:rsidR="00F35B5B" w:rsidRPr="00A932AC">
        <w:rPr>
          <w:color w:val="000000"/>
        </w:rPr>
        <w:t>McGreer</w:t>
      </w:r>
      <w:proofErr w:type="spellEnd"/>
      <w:r w:rsidR="00F35B5B" w:rsidRPr="00A932AC">
        <w:rPr>
          <w:color w:val="000000"/>
        </w:rPr>
        <w:t xml:space="preserve"> </w:t>
      </w:r>
      <w:r w:rsidR="008326B0" w:rsidRPr="00A932AC">
        <w:rPr>
          <w:color w:val="000000"/>
        </w:rPr>
        <w:t>would be responsible for the mapping fee estimated</w:t>
      </w:r>
      <w:r w:rsidR="00BA6002">
        <w:rPr>
          <w:color w:val="000000"/>
        </w:rPr>
        <w:t xml:space="preserve"> by the County</w:t>
      </w:r>
      <w:r w:rsidR="00EC0DC4" w:rsidRPr="00A932AC">
        <w:rPr>
          <w:color w:val="000000"/>
        </w:rPr>
        <w:t xml:space="preserve"> at </w:t>
      </w:r>
      <w:r w:rsidR="008326B0" w:rsidRPr="00A932AC">
        <w:rPr>
          <w:color w:val="000000"/>
        </w:rPr>
        <w:t>$150.</w:t>
      </w:r>
    </w:p>
    <w:p w14:paraId="26E8AF0E" w14:textId="5F923D1A" w:rsidR="002B0264" w:rsidRDefault="008326B0" w:rsidP="006447C1">
      <w:pPr>
        <w:pStyle w:val="ListParagraph"/>
        <w:numPr>
          <w:ilvl w:val="0"/>
          <w:numId w:val="29"/>
        </w:numPr>
        <w:autoSpaceDE w:val="0"/>
        <w:autoSpaceDN w:val="0"/>
        <w:adjustRightInd w:val="0"/>
        <w:spacing w:line="240" w:lineRule="atLeast"/>
        <w:ind w:left="1080"/>
        <w:rPr>
          <w:color w:val="000000"/>
        </w:rPr>
      </w:pPr>
      <w:r w:rsidRPr="00A932AC">
        <w:rPr>
          <w:color w:val="000000"/>
        </w:rPr>
        <w:t>The application for property line adjustment in Wasco County requires a map</w:t>
      </w:r>
      <w:r w:rsidR="00BA6002">
        <w:rPr>
          <w:color w:val="000000"/>
        </w:rPr>
        <w:t xml:space="preserve"> to </w:t>
      </w:r>
      <w:proofErr w:type="gramStart"/>
      <w:r w:rsidR="00BA6002">
        <w:rPr>
          <w:color w:val="000000"/>
        </w:rPr>
        <w:t>be prepared</w:t>
      </w:r>
      <w:proofErr w:type="gramEnd"/>
      <w:r w:rsidR="00BA6002">
        <w:rPr>
          <w:color w:val="000000"/>
        </w:rPr>
        <w:t xml:space="preserve"> by a licensed surveyor</w:t>
      </w:r>
      <w:r w:rsidRPr="00A932AC">
        <w:rPr>
          <w:color w:val="000000"/>
        </w:rPr>
        <w:t xml:space="preserve">.  </w:t>
      </w:r>
      <w:r w:rsidR="00893A16">
        <w:rPr>
          <w:color w:val="000000"/>
        </w:rPr>
        <w:t xml:space="preserve">Wasco County does not require </w:t>
      </w:r>
      <w:r w:rsidRPr="00A932AC">
        <w:rPr>
          <w:color w:val="000000"/>
        </w:rPr>
        <w:t xml:space="preserve">physical </w:t>
      </w:r>
      <w:proofErr w:type="spellStart"/>
      <w:r w:rsidRPr="00A932AC">
        <w:rPr>
          <w:color w:val="000000"/>
        </w:rPr>
        <w:t>monumentation</w:t>
      </w:r>
      <w:proofErr w:type="spellEnd"/>
      <w:r w:rsidR="00893A16">
        <w:rPr>
          <w:color w:val="000000"/>
        </w:rPr>
        <w:t>,</w:t>
      </w:r>
      <w:r w:rsidRPr="00A932AC">
        <w:rPr>
          <w:color w:val="000000"/>
        </w:rPr>
        <w:t xml:space="preserve"> boundary posting or </w:t>
      </w:r>
      <w:r w:rsidRPr="00504CAE">
        <w:t xml:space="preserve">on-the-ground survey </w:t>
      </w:r>
      <w:r w:rsidRPr="00A932AC">
        <w:rPr>
          <w:color w:val="000000"/>
        </w:rPr>
        <w:t xml:space="preserve">for the plat map.  </w:t>
      </w:r>
      <w:r w:rsidR="002B0264" w:rsidRPr="00A932AC">
        <w:rPr>
          <w:color w:val="000000"/>
        </w:rPr>
        <w:t>The County Surveyor</w:t>
      </w:r>
      <w:r w:rsidR="002B0264">
        <w:t xml:space="preserve"> </w:t>
      </w:r>
      <w:r w:rsidR="002B0264" w:rsidRPr="00504CAE">
        <w:t>review</w:t>
      </w:r>
      <w:r w:rsidR="002B0264">
        <w:t>s</w:t>
      </w:r>
      <w:r w:rsidR="002B0264" w:rsidRPr="00504CAE">
        <w:t xml:space="preserve"> and approve</w:t>
      </w:r>
      <w:r w:rsidR="002B0264">
        <w:t xml:space="preserve">s the map </w:t>
      </w:r>
      <w:r w:rsidR="002B0264" w:rsidRPr="00504CAE">
        <w:t>and then file</w:t>
      </w:r>
      <w:r w:rsidR="002B0264">
        <w:t>s it</w:t>
      </w:r>
      <w:r w:rsidR="002B0264" w:rsidRPr="00504CAE">
        <w:t xml:space="preserve"> with the County Clerk’s Office.  The County prepares a notice</w:t>
      </w:r>
      <w:r w:rsidR="002B0264">
        <w:t xml:space="preserve"> and mails it to</w:t>
      </w:r>
      <w:r w:rsidR="002B0264" w:rsidRPr="00504CAE">
        <w:t xml:space="preserve"> surrounding landowners</w:t>
      </w:r>
      <w:r w:rsidR="002B0264">
        <w:t xml:space="preserve">, </w:t>
      </w:r>
      <w:r w:rsidR="002B0264" w:rsidRPr="00504CAE">
        <w:t>with the right to appeal within a prescribed time</w:t>
      </w:r>
      <w:r w:rsidR="002B0264">
        <w:t>-</w:t>
      </w:r>
      <w:r w:rsidR="002B0264" w:rsidRPr="00504CAE">
        <w:t>period.</w:t>
      </w:r>
      <w:r w:rsidR="002B0264">
        <w:t xml:space="preserve"> </w:t>
      </w:r>
    </w:p>
    <w:p w14:paraId="06CED899" w14:textId="67A8778B" w:rsidR="00A932AC" w:rsidRPr="00A932AC" w:rsidRDefault="005E6998" w:rsidP="006447C1">
      <w:pPr>
        <w:pStyle w:val="ListParagraph"/>
        <w:numPr>
          <w:ilvl w:val="0"/>
          <w:numId w:val="29"/>
        </w:numPr>
        <w:autoSpaceDE w:val="0"/>
        <w:autoSpaceDN w:val="0"/>
        <w:adjustRightInd w:val="0"/>
        <w:spacing w:line="240" w:lineRule="atLeast"/>
        <w:ind w:left="1080"/>
        <w:rPr>
          <w:color w:val="000000"/>
        </w:rPr>
      </w:pPr>
      <w:r w:rsidRPr="005E6998">
        <w:rPr>
          <w:color w:val="000000"/>
        </w:rPr>
        <w:t>BLM Cadastral Survey completed the survey</w:t>
      </w:r>
      <w:r w:rsidR="002B0264">
        <w:rPr>
          <w:color w:val="000000"/>
        </w:rPr>
        <w:t xml:space="preserve"> of the non-Federal lands and </w:t>
      </w:r>
      <w:r w:rsidRPr="005E6998">
        <w:rPr>
          <w:color w:val="000000"/>
        </w:rPr>
        <w:t>prepared maps</w:t>
      </w:r>
      <w:r w:rsidR="002B0264">
        <w:rPr>
          <w:color w:val="000000"/>
        </w:rPr>
        <w:t xml:space="preserve"> with a precise acreage determination.  The </w:t>
      </w:r>
      <w:r w:rsidR="00893A16">
        <w:rPr>
          <w:color w:val="000000"/>
        </w:rPr>
        <w:t xml:space="preserve">survey describes the </w:t>
      </w:r>
      <w:r w:rsidR="002B0264">
        <w:rPr>
          <w:color w:val="000000"/>
        </w:rPr>
        <w:t xml:space="preserve">Federal lands by aliquot part and government lots.  Cadastral Survey conducted a Legal Description Review and </w:t>
      </w:r>
      <w:r w:rsidRPr="005E6998">
        <w:rPr>
          <w:color w:val="000000"/>
        </w:rPr>
        <w:t xml:space="preserve">certified </w:t>
      </w:r>
      <w:r w:rsidR="00461A68">
        <w:rPr>
          <w:color w:val="000000"/>
        </w:rPr>
        <w:t xml:space="preserve">the </w:t>
      </w:r>
      <w:r w:rsidRPr="005E6998">
        <w:rPr>
          <w:color w:val="000000"/>
        </w:rPr>
        <w:t xml:space="preserve">legal description for </w:t>
      </w:r>
      <w:r w:rsidR="002B0264">
        <w:rPr>
          <w:color w:val="000000"/>
        </w:rPr>
        <w:t xml:space="preserve">both </w:t>
      </w:r>
      <w:r w:rsidRPr="005E6998">
        <w:rPr>
          <w:color w:val="000000"/>
        </w:rPr>
        <w:t>the Federal</w:t>
      </w:r>
      <w:r w:rsidR="002B0264">
        <w:rPr>
          <w:color w:val="000000"/>
        </w:rPr>
        <w:t xml:space="preserve"> and non-Federal</w:t>
      </w:r>
      <w:r w:rsidRPr="005E6998">
        <w:rPr>
          <w:color w:val="000000"/>
        </w:rPr>
        <w:t xml:space="preserve"> lands.  </w:t>
      </w:r>
    </w:p>
    <w:p w14:paraId="309247C5" w14:textId="7211DB2E" w:rsidR="00A932AC" w:rsidRDefault="00BA6002" w:rsidP="006447C1">
      <w:pPr>
        <w:pStyle w:val="ListParagraph"/>
        <w:numPr>
          <w:ilvl w:val="0"/>
          <w:numId w:val="29"/>
        </w:numPr>
        <w:autoSpaceDE w:val="0"/>
        <w:autoSpaceDN w:val="0"/>
        <w:adjustRightInd w:val="0"/>
        <w:spacing w:line="240" w:lineRule="atLeast"/>
        <w:ind w:left="1080"/>
        <w:rPr>
          <w:color w:val="000000"/>
        </w:rPr>
      </w:pPr>
      <w:r>
        <w:rPr>
          <w:color w:val="000000"/>
        </w:rPr>
        <w:t>T</w:t>
      </w:r>
      <w:r w:rsidR="00EC0DC4" w:rsidRPr="00A932AC">
        <w:rPr>
          <w:color w:val="000000"/>
        </w:rPr>
        <w:t xml:space="preserve">he BLM </w:t>
      </w:r>
      <w:r>
        <w:rPr>
          <w:color w:val="000000"/>
        </w:rPr>
        <w:t xml:space="preserve">and the property owner </w:t>
      </w:r>
      <w:r w:rsidR="00EC0DC4" w:rsidRPr="00A932AC">
        <w:rPr>
          <w:color w:val="000000"/>
        </w:rPr>
        <w:t>must co-sign t</w:t>
      </w:r>
      <w:r w:rsidR="008326B0" w:rsidRPr="00A932AC">
        <w:rPr>
          <w:color w:val="000000"/>
        </w:rPr>
        <w:t>he Wasco County Property Line Adjustment/Re</w:t>
      </w:r>
      <w:r w:rsidR="00160536" w:rsidRPr="00A932AC">
        <w:rPr>
          <w:color w:val="000000"/>
        </w:rPr>
        <w:t>-</w:t>
      </w:r>
      <w:r w:rsidR="008326B0" w:rsidRPr="00A932AC">
        <w:rPr>
          <w:color w:val="000000"/>
        </w:rPr>
        <w:t>plat</w:t>
      </w:r>
      <w:r w:rsidR="00094590">
        <w:rPr>
          <w:color w:val="000000"/>
        </w:rPr>
        <w:t xml:space="preserve"> (PLA)</w:t>
      </w:r>
      <w:r w:rsidR="008326B0" w:rsidRPr="00A932AC">
        <w:rPr>
          <w:color w:val="000000"/>
        </w:rPr>
        <w:t xml:space="preserve"> Application. </w:t>
      </w:r>
      <w:r w:rsidR="00094590">
        <w:rPr>
          <w:color w:val="000000"/>
        </w:rPr>
        <w:t xml:space="preserve"> Cadastral Survey reviewed the PLA Plat and on August 15, 2013, provided a Short Chain of Survey Certificate</w:t>
      </w:r>
      <w:r w:rsidR="00D278E1">
        <w:rPr>
          <w:color w:val="000000"/>
        </w:rPr>
        <w:t xml:space="preserve"> approving the plat for </w:t>
      </w:r>
      <w:r w:rsidR="00AB0F8F">
        <w:rPr>
          <w:color w:val="000000"/>
        </w:rPr>
        <w:t>BLM signature</w:t>
      </w:r>
      <w:r w:rsidR="00094590">
        <w:rPr>
          <w:color w:val="000000"/>
        </w:rPr>
        <w:t xml:space="preserve">.  </w:t>
      </w:r>
      <w:r w:rsidR="008326B0" w:rsidRPr="00A932AC">
        <w:rPr>
          <w:color w:val="000000"/>
        </w:rPr>
        <w:t>The current fee is $1,687.  The processing time could take up to 65 days</w:t>
      </w:r>
      <w:r w:rsidR="00EC0DC4" w:rsidRPr="00A932AC">
        <w:rPr>
          <w:color w:val="000000"/>
        </w:rPr>
        <w:t>,</w:t>
      </w:r>
      <w:r w:rsidR="008326B0" w:rsidRPr="00A932AC">
        <w:rPr>
          <w:color w:val="000000"/>
        </w:rPr>
        <w:t xml:space="preserve"> followed </w:t>
      </w:r>
      <w:r w:rsidR="00D662DB" w:rsidRPr="00A932AC">
        <w:rPr>
          <w:color w:val="000000"/>
        </w:rPr>
        <w:t>by a 12-</w:t>
      </w:r>
      <w:r w:rsidR="008326B0" w:rsidRPr="00A932AC">
        <w:rPr>
          <w:color w:val="000000"/>
        </w:rPr>
        <w:t>day appeal period.</w:t>
      </w:r>
    </w:p>
    <w:p w14:paraId="2A20D343" w14:textId="510D92F7" w:rsidR="00A932AC" w:rsidRPr="00E930E7" w:rsidRDefault="008326B0" w:rsidP="006447C1">
      <w:pPr>
        <w:pStyle w:val="ListParagraph"/>
        <w:numPr>
          <w:ilvl w:val="0"/>
          <w:numId w:val="29"/>
        </w:numPr>
        <w:autoSpaceDE w:val="0"/>
        <w:autoSpaceDN w:val="0"/>
        <w:adjustRightInd w:val="0"/>
        <w:spacing w:line="240" w:lineRule="atLeast"/>
        <w:ind w:left="1080"/>
        <w:rPr>
          <w:b/>
        </w:rPr>
      </w:pPr>
      <w:r w:rsidRPr="00A932AC">
        <w:rPr>
          <w:color w:val="000000"/>
        </w:rPr>
        <w:t xml:space="preserve">The property line adjustment would carve out 344.31 acres from the larger Federal </w:t>
      </w:r>
      <w:r w:rsidR="006B0DFB">
        <w:rPr>
          <w:color w:val="000000"/>
        </w:rPr>
        <w:t>T</w:t>
      </w:r>
      <w:r w:rsidRPr="00A932AC">
        <w:rPr>
          <w:color w:val="000000"/>
        </w:rPr>
        <w:t xml:space="preserve">ax </w:t>
      </w:r>
      <w:r w:rsidR="006B0DFB">
        <w:rPr>
          <w:color w:val="000000"/>
        </w:rPr>
        <w:t>L</w:t>
      </w:r>
      <w:r w:rsidRPr="00A932AC">
        <w:rPr>
          <w:color w:val="000000"/>
        </w:rPr>
        <w:t xml:space="preserve">ot 500 </w:t>
      </w:r>
      <w:r>
        <w:t xml:space="preserve">to </w:t>
      </w:r>
      <w:r w:rsidRPr="00A932AC">
        <w:rPr>
          <w:color w:val="000000"/>
        </w:rPr>
        <w:t xml:space="preserve">assemble it into the contiguous </w:t>
      </w:r>
      <w:proofErr w:type="spellStart"/>
      <w:r w:rsidRPr="00A932AC">
        <w:rPr>
          <w:color w:val="000000"/>
        </w:rPr>
        <w:t>McGreer</w:t>
      </w:r>
      <w:proofErr w:type="spellEnd"/>
      <w:r w:rsidRPr="00A932AC">
        <w:rPr>
          <w:color w:val="000000"/>
        </w:rPr>
        <w:t xml:space="preserve"> </w:t>
      </w:r>
      <w:r w:rsidR="006B0DFB">
        <w:rPr>
          <w:color w:val="000000"/>
        </w:rPr>
        <w:t>T</w:t>
      </w:r>
      <w:r w:rsidRPr="00A932AC">
        <w:rPr>
          <w:color w:val="000000"/>
        </w:rPr>
        <w:t xml:space="preserve">ax </w:t>
      </w:r>
      <w:r w:rsidR="006B0DFB">
        <w:rPr>
          <w:color w:val="000000"/>
        </w:rPr>
        <w:t>L</w:t>
      </w:r>
      <w:r w:rsidRPr="00A932AC">
        <w:rPr>
          <w:color w:val="000000"/>
        </w:rPr>
        <w:t>ot 100 without creating a separate</w:t>
      </w:r>
      <w:r w:rsidR="00AB0F8F">
        <w:rPr>
          <w:color w:val="000000"/>
        </w:rPr>
        <w:t>, legal parcel</w:t>
      </w:r>
      <w:r w:rsidRPr="00A932AC">
        <w:rPr>
          <w:color w:val="000000"/>
        </w:rPr>
        <w:t xml:space="preserve">.  </w:t>
      </w:r>
      <w:r w:rsidR="00EC0DC4" w:rsidRPr="00A932AC">
        <w:rPr>
          <w:color w:val="000000"/>
        </w:rPr>
        <w:t>T</w:t>
      </w:r>
      <w:r w:rsidRPr="00A932AC">
        <w:rPr>
          <w:color w:val="000000"/>
        </w:rPr>
        <w:t xml:space="preserve">he </w:t>
      </w:r>
      <w:r w:rsidR="00160536" w:rsidRPr="00A932AC">
        <w:rPr>
          <w:color w:val="000000"/>
        </w:rPr>
        <w:t xml:space="preserve">Federal parcel </w:t>
      </w:r>
      <w:proofErr w:type="gramStart"/>
      <w:r w:rsidRPr="00A932AC">
        <w:rPr>
          <w:color w:val="000000"/>
        </w:rPr>
        <w:t>cannot</w:t>
      </w:r>
      <w:r w:rsidR="00160536" w:rsidRPr="00A932AC">
        <w:rPr>
          <w:color w:val="000000"/>
        </w:rPr>
        <w:t xml:space="preserve"> be</w:t>
      </w:r>
      <w:r w:rsidRPr="00A932AC">
        <w:rPr>
          <w:color w:val="000000"/>
        </w:rPr>
        <w:t xml:space="preserve"> partition</w:t>
      </w:r>
      <w:r w:rsidR="00160536" w:rsidRPr="00A932AC">
        <w:rPr>
          <w:color w:val="000000"/>
        </w:rPr>
        <w:t>ed</w:t>
      </w:r>
      <w:proofErr w:type="gramEnd"/>
      <w:r w:rsidRPr="00A932AC">
        <w:rPr>
          <w:color w:val="000000"/>
        </w:rPr>
        <w:t xml:space="preserve"> as a separate</w:t>
      </w:r>
      <w:r w:rsidR="00160536" w:rsidRPr="00A932AC">
        <w:rPr>
          <w:color w:val="000000"/>
        </w:rPr>
        <w:t>, individual</w:t>
      </w:r>
      <w:r w:rsidRPr="00A932AC">
        <w:rPr>
          <w:color w:val="000000"/>
        </w:rPr>
        <w:t xml:space="preserve"> tax lot</w:t>
      </w:r>
      <w:r w:rsidR="00EC0DC4" w:rsidRPr="00A932AC">
        <w:rPr>
          <w:color w:val="000000"/>
        </w:rPr>
        <w:t xml:space="preserve"> due to</w:t>
      </w:r>
      <w:r w:rsidR="00160536" w:rsidRPr="00A932AC">
        <w:rPr>
          <w:color w:val="000000"/>
        </w:rPr>
        <w:t xml:space="preserve"> the </w:t>
      </w:r>
      <w:r w:rsidR="00EC0DC4" w:rsidRPr="00A932AC">
        <w:rPr>
          <w:color w:val="000000"/>
        </w:rPr>
        <w:t>lack of legal access</w:t>
      </w:r>
      <w:r w:rsidRPr="00A932AC">
        <w:rPr>
          <w:color w:val="000000"/>
        </w:rPr>
        <w:t>.</w:t>
      </w:r>
    </w:p>
    <w:p w14:paraId="592F316C" w14:textId="77777777" w:rsidR="00E930E7" w:rsidRPr="00AB0F8F" w:rsidRDefault="00E930E7" w:rsidP="00E930E7">
      <w:pPr>
        <w:pStyle w:val="ListParagraph"/>
        <w:autoSpaceDE w:val="0"/>
        <w:autoSpaceDN w:val="0"/>
        <w:adjustRightInd w:val="0"/>
        <w:spacing w:line="240" w:lineRule="atLeast"/>
        <w:ind w:left="1080"/>
        <w:rPr>
          <w:b/>
        </w:rPr>
      </w:pPr>
    </w:p>
    <w:p w14:paraId="32721503" w14:textId="3B47B046" w:rsidR="00751C23" w:rsidRPr="00A932AC" w:rsidRDefault="007758D0" w:rsidP="00A932AC">
      <w:pPr>
        <w:tabs>
          <w:tab w:val="left" w:pos="720"/>
          <w:tab w:val="left" w:pos="1080"/>
        </w:tabs>
        <w:autoSpaceDE w:val="0"/>
        <w:autoSpaceDN w:val="0"/>
        <w:adjustRightInd w:val="0"/>
        <w:spacing w:line="240" w:lineRule="atLeast"/>
        <w:rPr>
          <w:b/>
        </w:rPr>
      </w:pPr>
      <w:r w:rsidRPr="00A932AC">
        <w:rPr>
          <w:b/>
        </w:rPr>
        <w:t>5.0</w:t>
      </w:r>
      <w:r w:rsidRPr="00A932AC">
        <w:rPr>
          <w:b/>
        </w:rPr>
        <w:tab/>
      </w:r>
      <w:r w:rsidR="00422DAE" w:rsidRPr="00A932AC">
        <w:rPr>
          <w:b/>
        </w:rPr>
        <w:t>RESOURCE VALUES AND ANTICIPATED FUTURE LAND USE</w:t>
      </w:r>
    </w:p>
    <w:p w14:paraId="32721504" w14:textId="77777777" w:rsidR="008326B0" w:rsidRDefault="008326B0" w:rsidP="003A5B8A">
      <w:pPr>
        <w:autoSpaceDE w:val="0"/>
        <w:autoSpaceDN w:val="0"/>
        <w:adjustRightInd w:val="0"/>
        <w:spacing w:line="240" w:lineRule="atLeast"/>
      </w:pPr>
    </w:p>
    <w:p w14:paraId="32721505" w14:textId="6B53C274" w:rsidR="00BB4F3A" w:rsidRPr="001B5F02" w:rsidRDefault="001B5F02" w:rsidP="00BB4F3A">
      <w:r w:rsidRPr="007A68D1">
        <w:t xml:space="preserve">The SBWA </w:t>
      </w:r>
      <w:r>
        <w:t>is</w:t>
      </w:r>
      <w:r w:rsidRPr="007A68D1">
        <w:t xml:space="preserve"> situated upstream </w:t>
      </w:r>
      <w:r w:rsidR="00C32BC5">
        <w:t>o</w:t>
      </w:r>
      <w:r w:rsidRPr="007A68D1">
        <w:t>f</w:t>
      </w:r>
      <w:r w:rsidR="00C32BC5">
        <w:t xml:space="preserve"> the town of</w:t>
      </w:r>
      <w:r w:rsidRPr="007A68D1">
        <w:t xml:space="preserve"> </w:t>
      </w:r>
      <w:proofErr w:type="spellStart"/>
      <w:r w:rsidRPr="007A68D1">
        <w:t>Clarno</w:t>
      </w:r>
      <w:proofErr w:type="spellEnd"/>
      <w:r w:rsidRPr="007A68D1">
        <w:t>, Oregon</w:t>
      </w:r>
      <w:r w:rsidR="006447C1">
        <w:t>,</w:t>
      </w:r>
      <w:r w:rsidRPr="007A68D1">
        <w:t xml:space="preserve"> along the east </w:t>
      </w:r>
      <w:r w:rsidR="006447C1">
        <w:t xml:space="preserve">bank </w:t>
      </w:r>
      <w:r w:rsidRPr="007A68D1">
        <w:t>of the John Day WSR</w:t>
      </w:r>
      <w:r>
        <w:t xml:space="preserve"> in Wheeler County</w:t>
      </w:r>
      <w:r w:rsidRPr="007A68D1">
        <w:t xml:space="preserve">.  </w:t>
      </w:r>
      <w:r w:rsidR="00BB4F3A" w:rsidRPr="001B5F02">
        <w:t>The high wilderness characteristics in Spring Basin include the colorful geologic features and rugged cliffs</w:t>
      </w:r>
      <w:r w:rsidR="00867DFE">
        <w:t>,</w:t>
      </w:r>
      <w:r w:rsidR="00BB4F3A" w:rsidRPr="001B5F02">
        <w:t xml:space="preserve"> which give this are</w:t>
      </w:r>
      <w:r w:rsidR="00867DFE">
        <w:t>a</w:t>
      </w:r>
      <w:r w:rsidR="00BB4F3A" w:rsidRPr="001B5F02">
        <w:t xml:space="preserve"> a unique beauty.  Numerous </w:t>
      </w:r>
      <w:r w:rsidR="00BB4F3A" w:rsidRPr="001B5F02">
        <w:lastRenderedPageBreak/>
        <w:t xml:space="preserve">vista points </w:t>
      </w:r>
      <w:r w:rsidR="00867DFE">
        <w:t>provide</w:t>
      </w:r>
      <w:r w:rsidR="00BB4F3A" w:rsidRPr="001B5F02">
        <w:t xml:space="preserve"> visitors a sweeping view of the John Day </w:t>
      </w:r>
      <w:r w:rsidR="00EC0DC4">
        <w:t>R</w:t>
      </w:r>
      <w:r w:rsidR="00BB4F3A" w:rsidRPr="001B5F02">
        <w:t>iver valley</w:t>
      </w:r>
      <w:r w:rsidR="00867DFE">
        <w:t>.</w:t>
      </w:r>
      <w:r w:rsidR="00BB4F3A" w:rsidRPr="001B5F02">
        <w:t xml:space="preserve">  </w:t>
      </w:r>
      <w:r w:rsidR="00867DFE">
        <w:t>The remote canyons and vegetative diversity provide solitude</w:t>
      </w:r>
      <w:r w:rsidR="00BB4F3A" w:rsidRPr="001B5F02">
        <w:t>.  These highly sce</w:t>
      </w:r>
      <w:r w:rsidR="00160536">
        <w:t xml:space="preserve">nic settings set the stage for </w:t>
      </w:r>
      <w:r w:rsidR="00BB4F3A" w:rsidRPr="001B5F02">
        <w:t>outstanding opportunities for recreation activities such as photography, hiking, and nature study.</w:t>
      </w:r>
    </w:p>
    <w:p w14:paraId="32721506" w14:textId="77777777" w:rsidR="00BB4F3A" w:rsidRPr="001B5F02" w:rsidRDefault="00BB4F3A" w:rsidP="00BB4F3A"/>
    <w:p w14:paraId="32721507" w14:textId="4CC1BAED" w:rsidR="00BB4F3A" w:rsidRPr="001B5F02" w:rsidRDefault="00BB4F3A" w:rsidP="00BB4F3A">
      <w:r w:rsidRPr="001B5F02">
        <w:t xml:space="preserve">This area </w:t>
      </w:r>
      <w:r w:rsidR="00867DFE">
        <w:t>contains</w:t>
      </w:r>
      <w:r w:rsidRPr="001B5F02">
        <w:t xml:space="preserve"> a unique combination of ecosystems, </w:t>
      </w:r>
      <w:proofErr w:type="gramStart"/>
      <w:r w:rsidRPr="001B5F02">
        <w:t>including:</w:t>
      </w:r>
      <w:proofErr w:type="gramEnd"/>
      <w:r w:rsidRPr="001B5F02">
        <w:t xml:space="preserve"> </w:t>
      </w:r>
      <w:r w:rsidR="006447C1">
        <w:t xml:space="preserve"> </w:t>
      </w:r>
      <w:r w:rsidRPr="001B5F02">
        <w:t>Palouse grassland province/wheatgrass, bluegrass, and sagebrush steppe.  At present, there are no similar wilderness areas containing these ecosystems with this type of biological diversity.</w:t>
      </w:r>
    </w:p>
    <w:p w14:paraId="32721508" w14:textId="77777777" w:rsidR="00BB4F3A" w:rsidRPr="001B5F02" w:rsidRDefault="00BB4F3A" w:rsidP="00BB4F3A"/>
    <w:p w14:paraId="3272150B" w14:textId="244258F7" w:rsidR="00BB4F3A" w:rsidRPr="001B5F02" w:rsidRDefault="00BB4F3A" w:rsidP="00BB4F3A">
      <w:r w:rsidRPr="001B5F02">
        <w:t>The predominant vegetation in the Spring Basin area is big sagebrush/bunchgrass and</w:t>
      </w:r>
      <w:r w:rsidR="006447C1">
        <w:t>,</w:t>
      </w:r>
      <w:r w:rsidRPr="001B5F02">
        <w:t xml:space="preserve"> to a lesser extent, juniper/bunchgrass.  There is a scattering of </w:t>
      </w:r>
      <w:proofErr w:type="spellStart"/>
      <w:r w:rsidRPr="001B5F02">
        <w:t>rabbitbrush</w:t>
      </w:r>
      <w:proofErr w:type="spellEnd"/>
      <w:r w:rsidRPr="001B5F02">
        <w:t xml:space="preserve"> </w:t>
      </w:r>
      <w:r w:rsidR="001B5F02">
        <w:t>and low sagebrush</w:t>
      </w:r>
      <w:r w:rsidR="006B0DFB">
        <w:t>;</w:t>
      </w:r>
      <w:r w:rsidR="00C77F90">
        <w:t xml:space="preserve"> </w:t>
      </w:r>
      <w:r w:rsidRPr="001B5F02">
        <w:t xml:space="preserve">associated grasses include </w:t>
      </w:r>
      <w:proofErr w:type="spellStart"/>
      <w:r w:rsidRPr="001B5F02">
        <w:t>bluebunch</w:t>
      </w:r>
      <w:proofErr w:type="spellEnd"/>
      <w:r w:rsidRPr="001B5F02">
        <w:t xml:space="preserve"> wheatgrass, </w:t>
      </w:r>
      <w:proofErr w:type="spellStart"/>
      <w:r w:rsidRPr="001B5F02">
        <w:t>needlegrass</w:t>
      </w:r>
      <w:proofErr w:type="spellEnd"/>
      <w:r w:rsidRPr="001B5F02">
        <w:t xml:space="preserve">, Idaho fescue, Sandberg’s bluegrass, sand </w:t>
      </w:r>
      <w:proofErr w:type="spellStart"/>
      <w:r w:rsidRPr="001B5F02">
        <w:t>dropseed</w:t>
      </w:r>
      <w:proofErr w:type="spellEnd"/>
      <w:r w:rsidRPr="001B5F02">
        <w:t xml:space="preserve">, and </w:t>
      </w:r>
      <w:proofErr w:type="spellStart"/>
      <w:r w:rsidRPr="001B5F02">
        <w:t>cheatgrass</w:t>
      </w:r>
      <w:proofErr w:type="spellEnd"/>
      <w:r w:rsidRPr="001B5F02">
        <w:t>.  The</w:t>
      </w:r>
      <w:r w:rsidR="00682D8E">
        <w:t xml:space="preserve"> area contains </w:t>
      </w:r>
      <w:r w:rsidRPr="001B5F02">
        <w:t>numerous other plant</w:t>
      </w:r>
      <w:r w:rsidR="00682D8E">
        <w:t xml:space="preserve"> </w:t>
      </w:r>
      <w:r w:rsidRPr="001B5F02">
        <w:t>s</w:t>
      </w:r>
      <w:r w:rsidR="00682D8E">
        <w:t>pecies as well</w:t>
      </w:r>
      <w:r w:rsidRPr="001B5F02">
        <w:t>.</w:t>
      </w:r>
    </w:p>
    <w:p w14:paraId="3272150C" w14:textId="77777777" w:rsidR="00BB4F3A" w:rsidRPr="001B5F02" w:rsidRDefault="00BB4F3A" w:rsidP="00BB4F3A"/>
    <w:p w14:paraId="3272150D" w14:textId="067EB458" w:rsidR="00BB4F3A" w:rsidRPr="001B5F02" w:rsidRDefault="00D57185" w:rsidP="00BB4F3A">
      <w:r>
        <w:t>The BLM identified f</w:t>
      </w:r>
      <w:r w:rsidR="00BB4F3A" w:rsidRPr="001B5F02">
        <w:t xml:space="preserve">our plant species of special interest within the area.  Two species, </w:t>
      </w:r>
      <w:proofErr w:type="spellStart"/>
      <w:r w:rsidR="00BB4F3A" w:rsidRPr="001B5F02">
        <w:rPr>
          <w:i/>
        </w:rPr>
        <w:t>Castilleja</w:t>
      </w:r>
      <w:proofErr w:type="spellEnd"/>
      <w:r w:rsidR="00BB4F3A" w:rsidRPr="001B5F02">
        <w:rPr>
          <w:i/>
        </w:rPr>
        <w:t xml:space="preserve"> </w:t>
      </w:r>
      <w:proofErr w:type="spellStart"/>
      <w:r w:rsidR="00BB4F3A" w:rsidRPr="001B5F02">
        <w:rPr>
          <w:i/>
        </w:rPr>
        <w:t>xanthotricha</w:t>
      </w:r>
      <w:proofErr w:type="spellEnd"/>
      <w:r w:rsidR="00BB4F3A" w:rsidRPr="001B5F02">
        <w:rPr>
          <w:i/>
        </w:rPr>
        <w:t xml:space="preserve"> </w:t>
      </w:r>
      <w:r w:rsidR="00BB4F3A" w:rsidRPr="001B5F02">
        <w:t xml:space="preserve">(yellow-hairy </w:t>
      </w:r>
      <w:r w:rsidR="00682D8E" w:rsidRPr="001B5F02">
        <w:t>Indian</w:t>
      </w:r>
      <w:r w:rsidR="00BB4F3A" w:rsidRPr="001B5F02">
        <w:t xml:space="preserve"> </w:t>
      </w:r>
      <w:proofErr w:type="gramStart"/>
      <w:r w:rsidR="00BB4F3A" w:rsidRPr="001B5F02">
        <w:t>paint brush</w:t>
      </w:r>
      <w:proofErr w:type="gramEnd"/>
      <w:r w:rsidR="00BB4F3A" w:rsidRPr="001B5F02">
        <w:t xml:space="preserve">) and </w:t>
      </w:r>
      <w:proofErr w:type="spellStart"/>
      <w:r w:rsidR="00BB4F3A" w:rsidRPr="001B5F02">
        <w:rPr>
          <w:i/>
        </w:rPr>
        <w:t>Astragalus</w:t>
      </w:r>
      <w:proofErr w:type="spellEnd"/>
      <w:r w:rsidR="00BB4F3A" w:rsidRPr="001B5F02">
        <w:rPr>
          <w:i/>
        </w:rPr>
        <w:t xml:space="preserve"> </w:t>
      </w:r>
      <w:r w:rsidR="00983B7F">
        <w:rPr>
          <w:i/>
        </w:rPr>
        <w:t>diaphanous</w:t>
      </w:r>
      <w:r w:rsidR="00983B7F">
        <w:t>,</w:t>
      </w:r>
      <w:r w:rsidR="00BB4F3A" w:rsidRPr="001B5F02">
        <w:t xml:space="preserve"> are Federal candidates for listing under the Endangered Species Act.  </w:t>
      </w:r>
      <w:proofErr w:type="gramStart"/>
      <w:r w:rsidR="00BB4F3A" w:rsidRPr="001B5F02">
        <w:t xml:space="preserve">The other two, </w:t>
      </w:r>
      <w:proofErr w:type="spellStart"/>
      <w:r w:rsidR="00BB4F3A" w:rsidRPr="001B5F02">
        <w:rPr>
          <w:i/>
        </w:rPr>
        <w:t>Penstemon</w:t>
      </w:r>
      <w:proofErr w:type="spellEnd"/>
      <w:r w:rsidR="00BB4F3A" w:rsidRPr="001B5F02">
        <w:rPr>
          <w:i/>
        </w:rPr>
        <w:t xml:space="preserve"> </w:t>
      </w:r>
      <w:proofErr w:type="spellStart"/>
      <w:r w:rsidR="00BB4F3A" w:rsidRPr="001B5F02">
        <w:rPr>
          <w:i/>
        </w:rPr>
        <w:t>eriantherus</w:t>
      </w:r>
      <w:proofErr w:type="spellEnd"/>
      <w:r w:rsidR="00BB4F3A" w:rsidRPr="001B5F02">
        <w:rPr>
          <w:i/>
        </w:rPr>
        <w:t xml:space="preserve"> </w:t>
      </w:r>
      <w:r w:rsidR="00BB4F3A" w:rsidRPr="001B5F02">
        <w:t xml:space="preserve">var. </w:t>
      </w:r>
      <w:proofErr w:type="spellStart"/>
      <w:r w:rsidR="00BB4F3A" w:rsidRPr="001B5F02">
        <w:rPr>
          <w:i/>
        </w:rPr>
        <w:t>argillosus</w:t>
      </w:r>
      <w:proofErr w:type="spellEnd"/>
      <w:r w:rsidR="00BB4F3A" w:rsidRPr="001B5F02">
        <w:rPr>
          <w:i/>
        </w:rPr>
        <w:t xml:space="preserve"> </w:t>
      </w:r>
      <w:r w:rsidR="00BB4F3A" w:rsidRPr="001B5F02">
        <w:t>(fuzzy</w:t>
      </w:r>
      <w:r w:rsidR="00682D8E">
        <w:t xml:space="preserve"> </w:t>
      </w:r>
      <w:r w:rsidR="00BB4F3A" w:rsidRPr="001B5F02">
        <w:t xml:space="preserve">tongue </w:t>
      </w:r>
      <w:proofErr w:type="spellStart"/>
      <w:r w:rsidR="00BB4F3A" w:rsidRPr="001B5F02">
        <w:t>penstemon</w:t>
      </w:r>
      <w:proofErr w:type="spellEnd"/>
      <w:r w:rsidR="00BB4F3A" w:rsidRPr="001B5F02">
        <w:t xml:space="preserve">) and </w:t>
      </w:r>
      <w:proofErr w:type="spellStart"/>
      <w:r w:rsidR="00BB4F3A" w:rsidRPr="001B5F02">
        <w:rPr>
          <w:i/>
        </w:rPr>
        <w:t>Pediocactus</w:t>
      </w:r>
      <w:proofErr w:type="spellEnd"/>
      <w:r w:rsidR="00BB4F3A" w:rsidRPr="001B5F02">
        <w:rPr>
          <w:i/>
        </w:rPr>
        <w:t xml:space="preserve"> </w:t>
      </w:r>
      <w:proofErr w:type="spellStart"/>
      <w:r w:rsidR="00BB4F3A" w:rsidRPr="001B5F02">
        <w:rPr>
          <w:i/>
        </w:rPr>
        <w:t>simpsoni</w:t>
      </w:r>
      <w:proofErr w:type="spellEnd"/>
      <w:r w:rsidR="00BB4F3A" w:rsidRPr="001B5F02">
        <w:rPr>
          <w:i/>
        </w:rPr>
        <w:t xml:space="preserve"> </w:t>
      </w:r>
      <w:r w:rsidR="00BB4F3A" w:rsidRPr="001B5F02">
        <w:t xml:space="preserve">var. </w:t>
      </w:r>
      <w:proofErr w:type="spellStart"/>
      <w:r w:rsidR="00BB4F3A" w:rsidRPr="001B5F02">
        <w:rPr>
          <w:i/>
        </w:rPr>
        <w:t>robustior</w:t>
      </w:r>
      <w:proofErr w:type="spellEnd"/>
      <w:r w:rsidR="00BB4F3A" w:rsidRPr="001B5F02">
        <w:rPr>
          <w:i/>
        </w:rPr>
        <w:t xml:space="preserve"> </w:t>
      </w:r>
      <w:r w:rsidR="00BB4F3A" w:rsidRPr="001B5F02">
        <w:t>(Hedgehog cactus)</w:t>
      </w:r>
      <w:r w:rsidR="00983B7F">
        <w:t>,</w:t>
      </w:r>
      <w:r w:rsidR="00BB4F3A" w:rsidRPr="001B5F02">
        <w:t xml:space="preserve"> are of limited concern within Oregon according to the Oregon Natural Heritage Data Base.</w:t>
      </w:r>
      <w:proofErr w:type="gramEnd"/>
    </w:p>
    <w:p w14:paraId="3272150E" w14:textId="77777777" w:rsidR="001B5F02" w:rsidRDefault="001B5F02" w:rsidP="001B5F02"/>
    <w:p w14:paraId="3272150F" w14:textId="25E6EB03" w:rsidR="00BB4F3A" w:rsidRPr="001B5F02" w:rsidRDefault="001B5F02" w:rsidP="001B5F02">
      <w:r w:rsidRPr="001B5F02">
        <w:t>Most portions of the Spring Basin area appear in a natural condition</w:t>
      </w:r>
      <w:r w:rsidR="00D57185">
        <w:t xml:space="preserve">, </w:t>
      </w:r>
      <w:r w:rsidRPr="001B5F02">
        <w:t xml:space="preserve">primarily affected by the forces of nature.  </w:t>
      </w:r>
      <w:r w:rsidRPr="007A68D1">
        <w:t>Wildlife observed in the area includes mule deer, pronghorn antelope, elk, black bear, co</w:t>
      </w:r>
      <w:r>
        <w:t>ugar, bobcat, mink, river otter</w:t>
      </w:r>
      <w:r w:rsidRPr="007A68D1">
        <w:t>, and bighorn sheep.  The area provides important big game wintering habitat for deer and elk.</w:t>
      </w:r>
      <w:r>
        <w:t xml:space="preserve">  Other</w:t>
      </w:r>
      <w:r w:rsidR="00BB4F3A" w:rsidRPr="001B5F02">
        <w:t xml:space="preserve"> species</w:t>
      </w:r>
      <w:r>
        <w:t xml:space="preserve"> common </w:t>
      </w:r>
      <w:r w:rsidR="00BB4F3A" w:rsidRPr="001B5F02">
        <w:t>in the area incl</w:t>
      </w:r>
      <w:r>
        <w:t>ude</w:t>
      </w:r>
      <w:r w:rsidR="00BB4F3A" w:rsidRPr="001B5F02">
        <w:t xml:space="preserve"> golden eagles, prairie falcons, </w:t>
      </w:r>
      <w:proofErr w:type="spellStart"/>
      <w:r w:rsidRPr="001B5F02">
        <w:t>chukar</w:t>
      </w:r>
      <w:proofErr w:type="spellEnd"/>
      <w:r>
        <w:t>,</w:t>
      </w:r>
      <w:r w:rsidRPr="001B5F02">
        <w:t xml:space="preserve"> </w:t>
      </w:r>
      <w:r w:rsidR="00BB4F3A" w:rsidRPr="001B5F02">
        <w:t>California quail, meadowlark, and mountain bluebirds.  The northern bald eagle, listed as threat</w:t>
      </w:r>
      <w:r>
        <w:t>ened in Oregon, is a</w:t>
      </w:r>
      <w:r w:rsidR="00BB4F3A" w:rsidRPr="001B5F02">
        <w:t xml:space="preserve"> winter resident.</w:t>
      </w:r>
    </w:p>
    <w:p w14:paraId="32721510" w14:textId="77777777" w:rsidR="00BB4F3A" w:rsidRPr="001B5F02" w:rsidRDefault="00BB4F3A" w:rsidP="00BB4F3A"/>
    <w:p w14:paraId="32721511" w14:textId="77777777" w:rsidR="00A5039D" w:rsidRPr="00BC2513" w:rsidRDefault="00F422CF" w:rsidP="003A5B8A">
      <w:pPr>
        <w:autoSpaceDE w:val="0"/>
        <w:autoSpaceDN w:val="0"/>
        <w:adjustRightInd w:val="0"/>
        <w:spacing w:line="240" w:lineRule="atLeast"/>
        <w:rPr>
          <w:b/>
        </w:rPr>
      </w:pPr>
      <w:r w:rsidRPr="00BC2513">
        <w:rPr>
          <w:b/>
        </w:rPr>
        <w:t>5</w:t>
      </w:r>
      <w:r w:rsidR="003A5B8A" w:rsidRPr="00BC2513">
        <w:rPr>
          <w:b/>
        </w:rPr>
        <w:t xml:space="preserve">.1 </w:t>
      </w:r>
      <w:r w:rsidR="003A5B8A" w:rsidRPr="00BC2513">
        <w:rPr>
          <w:b/>
        </w:rPr>
        <w:tab/>
      </w:r>
      <w:r w:rsidR="00A5039D" w:rsidRPr="00BC2513">
        <w:rPr>
          <w:b/>
        </w:rPr>
        <w:t xml:space="preserve">Federal </w:t>
      </w:r>
      <w:r w:rsidR="003A5B8A" w:rsidRPr="00BC2513">
        <w:rPr>
          <w:b/>
        </w:rPr>
        <w:t xml:space="preserve">Land </w:t>
      </w:r>
      <w:r w:rsidR="00A5039D" w:rsidRPr="00BC2513">
        <w:rPr>
          <w:b/>
        </w:rPr>
        <w:t xml:space="preserve"> </w:t>
      </w:r>
    </w:p>
    <w:p w14:paraId="32721512" w14:textId="77777777" w:rsidR="001B5F02" w:rsidRDefault="001B5F02" w:rsidP="00422DAE">
      <w:pPr>
        <w:autoSpaceDE w:val="0"/>
        <w:autoSpaceDN w:val="0"/>
        <w:adjustRightInd w:val="0"/>
        <w:rPr>
          <w:rFonts w:cstheme="minorHAnsi"/>
        </w:rPr>
      </w:pPr>
    </w:p>
    <w:p w14:paraId="32721513" w14:textId="3A072410" w:rsidR="00D44BEF" w:rsidRDefault="00295DD0" w:rsidP="00422DAE">
      <w:pPr>
        <w:autoSpaceDE w:val="0"/>
        <w:autoSpaceDN w:val="0"/>
        <w:adjustRightInd w:val="0"/>
        <w:rPr>
          <w:rFonts w:eastAsia="Calibri"/>
          <w:color w:val="000000"/>
        </w:rPr>
      </w:pPr>
      <w:r>
        <w:rPr>
          <w:rFonts w:cstheme="minorHAnsi"/>
        </w:rPr>
        <w:t xml:space="preserve">The </w:t>
      </w:r>
      <w:r w:rsidR="003830F6">
        <w:rPr>
          <w:rFonts w:cstheme="minorHAnsi"/>
        </w:rPr>
        <w:t xml:space="preserve">subject </w:t>
      </w:r>
      <w:r>
        <w:rPr>
          <w:rFonts w:cstheme="minorHAnsi"/>
        </w:rPr>
        <w:t>Federal land</w:t>
      </w:r>
      <w:r w:rsidR="00022FA5" w:rsidRPr="00C24FDF">
        <w:rPr>
          <w:rFonts w:cstheme="minorHAnsi"/>
        </w:rPr>
        <w:t xml:space="preserve"> </w:t>
      </w:r>
      <w:r>
        <w:rPr>
          <w:rFonts w:cstheme="minorHAnsi"/>
        </w:rPr>
        <w:t>is</w:t>
      </w:r>
      <w:r w:rsidR="00022FA5">
        <w:rPr>
          <w:rFonts w:cstheme="minorHAnsi"/>
        </w:rPr>
        <w:t xml:space="preserve"> adjacent to the </w:t>
      </w:r>
      <w:proofErr w:type="spellStart"/>
      <w:r w:rsidR="00022FA5">
        <w:rPr>
          <w:rFonts w:cstheme="minorHAnsi"/>
        </w:rPr>
        <w:t>McGreer</w:t>
      </w:r>
      <w:proofErr w:type="spellEnd"/>
      <w:r w:rsidR="00022FA5">
        <w:rPr>
          <w:rFonts w:cstheme="minorHAnsi"/>
        </w:rPr>
        <w:t xml:space="preserve"> </w:t>
      </w:r>
      <w:r w:rsidR="00952DFF">
        <w:rPr>
          <w:rFonts w:cstheme="minorHAnsi"/>
        </w:rPr>
        <w:t>f</w:t>
      </w:r>
      <w:r w:rsidR="00022FA5">
        <w:rPr>
          <w:rFonts w:cstheme="minorHAnsi"/>
        </w:rPr>
        <w:t xml:space="preserve">amily farm on the west side of the </w:t>
      </w:r>
      <w:r w:rsidR="00444EDE">
        <w:rPr>
          <w:rFonts w:cstheme="minorHAnsi"/>
        </w:rPr>
        <w:t>John Day R</w:t>
      </w:r>
      <w:r w:rsidR="00022FA5">
        <w:rPr>
          <w:rFonts w:cstheme="minorHAnsi"/>
        </w:rPr>
        <w:t>iver in Wasco County</w:t>
      </w:r>
      <w:r w:rsidR="00FB12AB">
        <w:rPr>
          <w:rFonts w:cstheme="minorHAnsi"/>
        </w:rPr>
        <w:t>, Oregon</w:t>
      </w:r>
      <w:r w:rsidR="00022FA5" w:rsidRPr="00C24FDF">
        <w:rPr>
          <w:rFonts w:cstheme="minorHAnsi"/>
        </w:rPr>
        <w:t xml:space="preserve">.  </w:t>
      </w:r>
      <w:r w:rsidR="00022FA5">
        <w:rPr>
          <w:rFonts w:cstheme="minorHAnsi"/>
        </w:rPr>
        <w:t>Th</w:t>
      </w:r>
      <w:r>
        <w:rPr>
          <w:rFonts w:cstheme="minorHAnsi"/>
        </w:rPr>
        <w:t>i</w:t>
      </w:r>
      <w:r w:rsidR="00022FA5">
        <w:rPr>
          <w:rFonts w:cstheme="minorHAnsi"/>
        </w:rPr>
        <w:t xml:space="preserve">s land </w:t>
      </w:r>
      <w:r>
        <w:rPr>
          <w:rFonts w:cstheme="minorHAnsi"/>
        </w:rPr>
        <w:t>is</w:t>
      </w:r>
      <w:r w:rsidR="00022FA5">
        <w:rPr>
          <w:rFonts w:cstheme="minorHAnsi"/>
        </w:rPr>
        <w:t xml:space="preserve"> predominantly ran</w:t>
      </w:r>
      <w:r w:rsidR="00E22E93">
        <w:rPr>
          <w:rFonts w:cstheme="minorHAnsi"/>
        </w:rPr>
        <w:t xml:space="preserve">geland with the exception of </w:t>
      </w:r>
      <w:r w:rsidR="00EC0DC4">
        <w:rPr>
          <w:rFonts w:cstheme="minorHAnsi"/>
        </w:rPr>
        <w:t xml:space="preserve">irrigated </w:t>
      </w:r>
      <w:r w:rsidR="00022FA5">
        <w:rPr>
          <w:rFonts w:cstheme="minorHAnsi"/>
        </w:rPr>
        <w:t>areas along the north and south boundary</w:t>
      </w:r>
      <w:r w:rsidR="00F35B5B">
        <w:rPr>
          <w:rFonts w:cstheme="minorHAnsi"/>
        </w:rPr>
        <w:t xml:space="preserve"> of the Federal parcel</w:t>
      </w:r>
      <w:r w:rsidR="00E22E93">
        <w:rPr>
          <w:rFonts w:cstheme="minorHAnsi"/>
        </w:rPr>
        <w:t xml:space="preserve">.  </w:t>
      </w:r>
      <w:r w:rsidR="00022FA5">
        <w:rPr>
          <w:rFonts w:cstheme="minorHAnsi"/>
        </w:rPr>
        <w:t>These cultivated areas comprise 1</w:t>
      </w:r>
      <w:r w:rsidR="00D44BEF">
        <w:rPr>
          <w:rFonts w:cstheme="minorHAnsi"/>
        </w:rPr>
        <w:t>5</w:t>
      </w:r>
      <w:r w:rsidR="00022FA5">
        <w:rPr>
          <w:rFonts w:cstheme="minorHAnsi"/>
        </w:rPr>
        <w:t>.</w:t>
      </w:r>
      <w:r w:rsidR="00D44BEF">
        <w:rPr>
          <w:rFonts w:cstheme="minorHAnsi"/>
        </w:rPr>
        <w:t>7</w:t>
      </w:r>
      <w:r w:rsidR="00022FA5">
        <w:rPr>
          <w:rFonts w:cstheme="minorHAnsi"/>
        </w:rPr>
        <w:t xml:space="preserve"> acres </w:t>
      </w:r>
      <w:r w:rsidR="00364A60">
        <w:rPr>
          <w:rFonts w:cstheme="minorHAnsi"/>
        </w:rPr>
        <w:t xml:space="preserve">with </w:t>
      </w:r>
      <w:r w:rsidR="00022FA5">
        <w:rPr>
          <w:rFonts w:cstheme="minorHAnsi"/>
        </w:rPr>
        <w:t xml:space="preserve">water rights included under </w:t>
      </w:r>
      <w:r w:rsidR="00983B7F">
        <w:rPr>
          <w:rFonts w:cstheme="minorHAnsi"/>
        </w:rPr>
        <w:t>c</w:t>
      </w:r>
      <w:r w:rsidR="00022FA5">
        <w:rPr>
          <w:rFonts w:cstheme="minorHAnsi"/>
        </w:rPr>
        <w:t>ertificate numbers 53715, 65824, 83272, and 83294.</w:t>
      </w:r>
      <w:r w:rsidR="00720D37">
        <w:rPr>
          <w:rFonts w:cstheme="minorHAnsi"/>
        </w:rPr>
        <w:t xml:space="preserve">  The point of diversion is</w:t>
      </w:r>
      <w:r w:rsidR="00952DFF">
        <w:rPr>
          <w:rFonts w:cstheme="minorHAnsi"/>
        </w:rPr>
        <w:t xml:space="preserve"> located on </w:t>
      </w:r>
      <w:proofErr w:type="spellStart"/>
      <w:r w:rsidR="00952DFF">
        <w:rPr>
          <w:rFonts w:cstheme="minorHAnsi"/>
        </w:rPr>
        <w:t>McGreer</w:t>
      </w:r>
      <w:proofErr w:type="spellEnd"/>
      <w:r w:rsidR="00952DFF">
        <w:rPr>
          <w:rFonts w:cstheme="minorHAnsi"/>
        </w:rPr>
        <w:t xml:space="preserve"> property.  </w:t>
      </w:r>
      <w:r w:rsidR="00D44BEF">
        <w:rPr>
          <w:rFonts w:eastAsia="Calibri"/>
          <w:color w:val="000000"/>
        </w:rPr>
        <w:t xml:space="preserve">The </w:t>
      </w:r>
      <w:proofErr w:type="spellStart"/>
      <w:r w:rsidR="00867DFE">
        <w:rPr>
          <w:rFonts w:eastAsia="Calibri"/>
          <w:color w:val="000000"/>
        </w:rPr>
        <w:t>McGreers</w:t>
      </w:r>
      <w:proofErr w:type="spellEnd"/>
      <w:r w:rsidR="00867DFE">
        <w:rPr>
          <w:rFonts w:eastAsia="Calibri"/>
          <w:color w:val="000000"/>
        </w:rPr>
        <w:t xml:space="preserve"> </w:t>
      </w:r>
      <w:r w:rsidR="00D44BEF">
        <w:rPr>
          <w:rFonts w:eastAsia="Calibri"/>
          <w:color w:val="000000"/>
        </w:rPr>
        <w:t>will manage</w:t>
      </w:r>
      <w:r w:rsidR="00867DFE">
        <w:rPr>
          <w:rFonts w:eastAsia="Calibri"/>
          <w:color w:val="000000"/>
        </w:rPr>
        <w:t xml:space="preserve"> the Federal lands</w:t>
      </w:r>
      <w:r w:rsidR="00D44BEF">
        <w:rPr>
          <w:rFonts w:eastAsia="Calibri"/>
          <w:color w:val="000000"/>
        </w:rPr>
        <w:t xml:space="preserve"> </w:t>
      </w:r>
      <w:r w:rsidR="00D57185">
        <w:rPr>
          <w:rFonts w:eastAsia="Calibri"/>
          <w:color w:val="000000"/>
        </w:rPr>
        <w:t>similar to current BLM management.</w:t>
      </w:r>
    </w:p>
    <w:p w14:paraId="32721514" w14:textId="77777777" w:rsidR="00124B50" w:rsidRDefault="00124B50" w:rsidP="00022FA5">
      <w:pPr>
        <w:autoSpaceDE w:val="0"/>
        <w:autoSpaceDN w:val="0"/>
        <w:adjustRightInd w:val="0"/>
        <w:rPr>
          <w:rFonts w:cstheme="minorHAnsi"/>
        </w:rPr>
      </w:pPr>
    </w:p>
    <w:p w14:paraId="53BA4F06" w14:textId="708EC05B" w:rsidR="00F35B5B" w:rsidRDefault="003F3465" w:rsidP="00124B50">
      <w:pPr>
        <w:autoSpaceDE w:val="0"/>
        <w:autoSpaceDN w:val="0"/>
        <w:adjustRightInd w:val="0"/>
        <w:spacing w:line="240" w:lineRule="atLeast"/>
      </w:pPr>
      <w:r>
        <w:rPr>
          <w:color w:val="000000"/>
        </w:rPr>
        <w:t>H.</w:t>
      </w:r>
      <w:r w:rsidR="00F35B5B">
        <w:rPr>
          <w:color w:val="000000"/>
        </w:rPr>
        <w:t xml:space="preserve"> </w:t>
      </w:r>
      <w:r w:rsidR="00124B50">
        <w:rPr>
          <w:color w:val="000000"/>
        </w:rPr>
        <w:t xml:space="preserve">Kelly </w:t>
      </w:r>
      <w:proofErr w:type="spellStart"/>
      <w:r w:rsidR="00124B50">
        <w:rPr>
          <w:color w:val="000000"/>
        </w:rPr>
        <w:t>McGreer</w:t>
      </w:r>
      <w:proofErr w:type="spellEnd"/>
      <w:r w:rsidR="00124B50" w:rsidRPr="00F221BC">
        <w:rPr>
          <w:color w:val="000000"/>
        </w:rPr>
        <w:t xml:space="preserve"> </w:t>
      </w:r>
      <w:r w:rsidR="00124B50">
        <w:rPr>
          <w:color w:val="000000"/>
        </w:rPr>
        <w:t xml:space="preserve">is the </w:t>
      </w:r>
      <w:r w:rsidR="00124B50" w:rsidRPr="00F221BC">
        <w:t xml:space="preserve">holder of a grazing lease </w:t>
      </w:r>
      <w:r w:rsidR="00124B50">
        <w:t>for</w:t>
      </w:r>
      <w:r w:rsidR="00E22E93">
        <w:t xml:space="preserve"> the </w:t>
      </w:r>
      <w:r w:rsidR="00124B50" w:rsidRPr="00F221BC">
        <w:t>Spud Allotment</w:t>
      </w:r>
      <w:r w:rsidR="00124B50">
        <w:t xml:space="preserve"> (#2588).  </w:t>
      </w:r>
      <w:r w:rsidR="00124B50" w:rsidRPr="00EF5825">
        <w:t xml:space="preserve">There are approximately </w:t>
      </w:r>
      <w:r w:rsidR="00124B50">
        <w:t>608</w:t>
      </w:r>
      <w:r w:rsidR="00124B50" w:rsidRPr="00EF5825">
        <w:t xml:space="preserve"> acres supporting 4</w:t>
      </w:r>
      <w:r w:rsidR="00124B50">
        <w:t>0</w:t>
      </w:r>
      <w:r w:rsidR="00124B50" w:rsidRPr="00EF5825">
        <w:t xml:space="preserve"> A</w:t>
      </w:r>
      <w:r w:rsidR="00D44BEF">
        <w:t xml:space="preserve">nimal </w:t>
      </w:r>
      <w:r w:rsidR="00124B50" w:rsidRPr="00EF5825">
        <w:t>U</w:t>
      </w:r>
      <w:r w:rsidR="00D44BEF">
        <w:t xml:space="preserve">nit </w:t>
      </w:r>
      <w:r w:rsidR="00124B50" w:rsidRPr="00EF5825">
        <w:t>M</w:t>
      </w:r>
      <w:r w:rsidR="00D44BEF">
        <w:t>onth</w:t>
      </w:r>
      <w:r w:rsidR="00124B50" w:rsidRPr="00EF5825">
        <w:t xml:space="preserve">s </w:t>
      </w:r>
      <w:r w:rsidR="00476CE4">
        <w:t xml:space="preserve">(AUM) </w:t>
      </w:r>
      <w:r w:rsidR="00124B50" w:rsidRPr="00EF5825">
        <w:t xml:space="preserve">in the </w:t>
      </w:r>
      <w:r w:rsidR="00124B50" w:rsidRPr="00BE76D3">
        <w:rPr>
          <w:rFonts w:cs="Calibri"/>
          <w:color w:val="000000"/>
        </w:rPr>
        <w:t>Spud Allotment</w:t>
      </w:r>
      <w:r w:rsidR="00124B50" w:rsidRPr="00EF5825">
        <w:t xml:space="preserve">.   </w:t>
      </w:r>
      <w:r w:rsidR="006C620B">
        <w:t>T</w:t>
      </w:r>
      <w:r w:rsidR="00124B50" w:rsidRPr="00EF5825">
        <w:t>he exchange</w:t>
      </w:r>
      <w:r w:rsidR="006C620B">
        <w:t xml:space="preserve"> will decrease</w:t>
      </w:r>
      <w:r w:rsidR="00124B50" w:rsidRPr="00EF5825">
        <w:t xml:space="preserve"> the Federal land in </w:t>
      </w:r>
      <w:r w:rsidR="00124B50">
        <w:t>this a</w:t>
      </w:r>
      <w:r w:rsidR="00124B50" w:rsidRPr="00EF5825">
        <w:t xml:space="preserve">llotment </w:t>
      </w:r>
      <w:r w:rsidR="00124B50" w:rsidRPr="00D92F9B">
        <w:t>by 344.31 acres</w:t>
      </w:r>
      <w:r w:rsidR="00124B50" w:rsidRPr="00EF5825">
        <w:t xml:space="preserve"> with a reduction</w:t>
      </w:r>
      <w:r w:rsidR="00124B50">
        <w:t xml:space="preserve"> in the grazing preference by 15</w:t>
      </w:r>
      <w:r w:rsidR="00124B50" w:rsidRPr="00EF5825">
        <w:t xml:space="preserve"> AUMs.  A total of </w:t>
      </w:r>
      <w:r w:rsidR="00124B50">
        <w:t>264 acres supporting 25</w:t>
      </w:r>
      <w:r w:rsidR="00124B50" w:rsidRPr="00EF5825">
        <w:t xml:space="preserve"> AUMs would</w:t>
      </w:r>
      <w:r w:rsidR="00124B50">
        <w:t xml:space="preserve"> remain</w:t>
      </w:r>
      <w:r w:rsidR="00124B50" w:rsidRPr="00EF5825">
        <w:t xml:space="preserve"> in this allotment</w:t>
      </w:r>
      <w:r w:rsidR="00124B50">
        <w:t xml:space="preserve"> following the exchange</w:t>
      </w:r>
      <w:r w:rsidR="00124B50" w:rsidRPr="00EF5825">
        <w:t xml:space="preserve">.  </w:t>
      </w:r>
      <w:r w:rsidR="00EC0DC4">
        <w:t>The</w:t>
      </w:r>
      <w:r w:rsidR="00F35B5B">
        <w:t xml:space="preserve">re are no </w:t>
      </w:r>
      <w:r w:rsidR="00124B50">
        <w:t>constructed assets or range improvements</w:t>
      </w:r>
      <w:r w:rsidR="00F35B5B">
        <w:t xml:space="preserve"> on the affected public lands</w:t>
      </w:r>
      <w:r w:rsidR="00EC0DC4">
        <w:t>.</w:t>
      </w:r>
      <w:r w:rsidR="00F35B5B">
        <w:t xml:space="preserve">  </w:t>
      </w:r>
    </w:p>
    <w:p w14:paraId="37C7CEB8" w14:textId="77777777" w:rsidR="00F35B5B" w:rsidRDefault="00F35B5B" w:rsidP="00124B50">
      <w:pPr>
        <w:autoSpaceDE w:val="0"/>
        <w:autoSpaceDN w:val="0"/>
        <w:adjustRightInd w:val="0"/>
        <w:spacing w:line="240" w:lineRule="atLeast"/>
      </w:pPr>
    </w:p>
    <w:p w14:paraId="1E5EF4F8" w14:textId="0AC3BE0D" w:rsidR="00F35B5B" w:rsidRDefault="00F35B5B" w:rsidP="00F35B5B">
      <w:pPr>
        <w:spacing w:line="240" w:lineRule="atLeast"/>
      </w:pPr>
      <w:r w:rsidRPr="00247AC5">
        <w:t xml:space="preserve">A formal notification of the exchange proposal </w:t>
      </w:r>
      <w:r>
        <w:t xml:space="preserve">was </w:t>
      </w:r>
      <w:r w:rsidRPr="00247AC5">
        <w:t>sent to the operator</w:t>
      </w:r>
      <w:r w:rsidR="003F3465">
        <w:t>, H.</w:t>
      </w:r>
      <w:r>
        <w:t xml:space="preserve"> Kelly </w:t>
      </w:r>
      <w:proofErr w:type="spellStart"/>
      <w:r>
        <w:t>McGreer</w:t>
      </w:r>
      <w:proofErr w:type="spellEnd"/>
      <w:r>
        <w:t>,</w:t>
      </w:r>
      <w:r w:rsidRPr="00247AC5">
        <w:t xml:space="preserve"> </w:t>
      </w:r>
      <w:r>
        <w:t xml:space="preserve">who </w:t>
      </w:r>
      <w:r w:rsidRPr="00247AC5">
        <w:t>sign</w:t>
      </w:r>
      <w:r>
        <w:t>ed</w:t>
      </w:r>
      <w:r w:rsidRPr="00247AC5">
        <w:t xml:space="preserve"> a</w:t>
      </w:r>
      <w:r>
        <w:t>nd returned a</w:t>
      </w:r>
      <w:r w:rsidRPr="00247AC5">
        <w:t xml:space="preserve"> Grazing Cancellation Waiver </w:t>
      </w:r>
      <w:r>
        <w:t>dated July 1, 2013</w:t>
      </w:r>
      <w:r w:rsidR="006B0DFB">
        <w:t>,</w:t>
      </w:r>
      <w:r>
        <w:t xml:space="preserve"> unconditionally waiving</w:t>
      </w:r>
      <w:r w:rsidRPr="00247AC5">
        <w:t xml:space="preserve"> </w:t>
      </w:r>
      <w:r>
        <w:t>his</w:t>
      </w:r>
      <w:r w:rsidRPr="00247AC5">
        <w:t xml:space="preserve"> right to a 2-year notice in accordance with 43 CFR </w:t>
      </w:r>
      <w:r>
        <w:t xml:space="preserve">4110.4-2(b). </w:t>
      </w:r>
      <w:r w:rsidRPr="00247AC5">
        <w:t xml:space="preserve"> Federal regulations require that a </w:t>
      </w:r>
      <w:r w:rsidR="006B0DFB">
        <w:t>2</w:t>
      </w:r>
      <w:r>
        <w:t>-</w:t>
      </w:r>
      <w:r w:rsidRPr="00247AC5">
        <w:t xml:space="preserve">year notification </w:t>
      </w:r>
      <w:proofErr w:type="gramStart"/>
      <w:r w:rsidRPr="00247AC5">
        <w:t>be given</w:t>
      </w:r>
      <w:proofErr w:type="gramEnd"/>
      <w:r w:rsidRPr="00247AC5">
        <w:t xml:space="preserve"> to the operator prior to cancelling or adjusting grazing privileges.  </w:t>
      </w:r>
    </w:p>
    <w:p w14:paraId="3DC82116" w14:textId="77777777" w:rsidR="00893A16" w:rsidRPr="002F5A2E" w:rsidRDefault="00893A16" w:rsidP="00F35B5B">
      <w:pPr>
        <w:spacing w:line="240" w:lineRule="atLeast"/>
        <w:rPr>
          <w:color w:val="000000"/>
        </w:rPr>
      </w:pPr>
    </w:p>
    <w:p w14:paraId="32721517" w14:textId="42BF17B8" w:rsidR="00C504E6" w:rsidRDefault="003830F6" w:rsidP="003830F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8E037C">
        <w:t xml:space="preserve">Based upon an evaluation of available literature, a review of BLM </w:t>
      </w:r>
      <w:r>
        <w:t xml:space="preserve">mineral </w:t>
      </w:r>
      <w:r w:rsidRPr="008E037C">
        <w:t>records, and</w:t>
      </w:r>
      <w:r>
        <w:t xml:space="preserve"> a</w:t>
      </w:r>
      <w:r w:rsidRPr="008E037C">
        <w:t xml:space="preserve"> field inspection, the mineral potential of the areas covered under the proposed conveyance is</w:t>
      </w:r>
      <w:r>
        <w:t xml:space="preserve"> evident, but low</w:t>
      </w:r>
      <w:r w:rsidRPr="008E037C">
        <w:t xml:space="preserve">.  A search of the BLM </w:t>
      </w:r>
      <w:r w:rsidR="006B0DFB">
        <w:t xml:space="preserve">Legacy </w:t>
      </w:r>
      <w:proofErr w:type="spellStart"/>
      <w:r w:rsidR="006B0DFB">
        <w:t>Rehost</w:t>
      </w:r>
      <w:proofErr w:type="spellEnd"/>
      <w:r w:rsidR="006B0DFB">
        <w:t xml:space="preserve"> 2000 </w:t>
      </w:r>
      <w:r w:rsidRPr="008E037C">
        <w:t xml:space="preserve">lands and </w:t>
      </w:r>
      <w:r>
        <w:t>minerals record system showed no</w:t>
      </w:r>
      <w:r w:rsidRPr="008E037C">
        <w:t xml:space="preserve"> record of </w:t>
      </w:r>
      <w:r w:rsidR="00C504E6">
        <w:t>past</w:t>
      </w:r>
      <w:r>
        <w:t xml:space="preserve"> </w:t>
      </w:r>
      <w:r w:rsidRPr="008E037C">
        <w:t>mini</w:t>
      </w:r>
      <w:r>
        <w:t>ng activity on or</w:t>
      </w:r>
      <w:r w:rsidRPr="008E037C">
        <w:t xml:space="preserve"> near the subject parcel</w:t>
      </w:r>
      <w:r>
        <w:t>s</w:t>
      </w:r>
      <w:r w:rsidRPr="008E037C">
        <w:t xml:space="preserve">.  </w:t>
      </w:r>
      <w:r w:rsidR="00C504E6">
        <w:t xml:space="preserve">The </w:t>
      </w:r>
      <w:r w:rsidR="006C620B">
        <w:t>Federal and non-Federal</w:t>
      </w:r>
      <w:r w:rsidR="00682D8E">
        <w:t xml:space="preserve"> lands </w:t>
      </w:r>
      <w:r w:rsidR="00C504E6">
        <w:t xml:space="preserve">have </w:t>
      </w:r>
      <w:r w:rsidR="00C504E6" w:rsidRPr="008E037C">
        <w:t>l</w:t>
      </w:r>
      <w:r w:rsidR="00C504E6">
        <w:t>ow or unknown mineral resource values</w:t>
      </w:r>
      <w:r w:rsidR="00C504E6" w:rsidRPr="008E037C">
        <w:t xml:space="preserve">. </w:t>
      </w:r>
      <w:r w:rsidR="00C504E6">
        <w:t xml:space="preserve"> </w:t>
      </w:r>
      <w:r w:rsidR="00C504E6" w:rsidRPr="008E037C">
        <w:t xml:space="preserve">Considering the lack of </w:t>
      </w:r>
      <w:r w:rsidR="00C504E6">
        <w:t xml:space="preserve">locatable and leasable </w:t>
      </w:r>
      <w:r w:rsidR="00C519BC">
        <w:t>m</w:t>
      </w:r>
      <w:r w:rsidR="00C504E6">
        <w:t>ineral</w:t>
      </w:r>
      <w:r w:rsidR="00C519BC">
        <w:t>s</w:t>
      </w:r>
      <w:r w:rsidR="006B0DFB">
        <w:t xml:space="preserve"> as well as</w:t>
      </w:r>
      <w:r w:rsidR="00C504E6">
        <w:t xml:space="preserve"> the low potential for development of salable minerals, </w:t>
      </w:r>
      <w:r w:rsidR="006C620B">
        <w:t xml:space="preserve">the BLM does not expect the </w:t>
      </w:r>
      <w:r w:rsidR="00C504E6">
        <w:t>transfer</w:t>
      </w:r>
      <w:r w:rsidR="00C504E6" w:rsidRPr="008E037C">
        <w:t xml:space="preserve"> of the </w:t>
      </w:r>
      <w:r w:rsidR="00C504E6">
        <w:t xml:space="preserve">Federal </w:t>
      </w:r>
      <w:r w:rsidR="00C504E6" w:rsidRPr="008E037C">
        <w:t xml:space="preserve">land </w:t>
      </w:r>
      <w:r w:rsidR="00C504E6">
        <w:t xml:space="preserve">to </w:t>
      </w:r>
      <w:r w:rsidR="00C504E6" w:rsidRPr="008E037C">
        <w:t xml:space="preserve">interfere with </w:t>
      </w:r>
      <w:r w:rsidR="00C504E6">
        <w:t xml:space="preserve">overall mineral development in </w:t>
      </w:r>
      <w:r w:rsidR="00983B7F">
        <w:t>c</w:t>
      </w:r>
      <w:r w:rsidR="00C504E6" w:rsidRPr="008E037C">
        <w:t>entral Oregon.</w:t>
      </w:r>
    </w:p>
    <w:p w14:paraId="07CFE282" w14:textId="77777777" w:rsidR="00E7105E" w:rsidRDefault="00E7105E" w:rsidP="00E7105E">
      <w:pPr>
        <w:widowControl w:val="0"/>
        <w:autoSpaceDE w:val="0"/>
        <w:autoSpaceDN w:val="0"/>
        <w:adjustRightInd w:val="0"/>
        <w:spacing w:line="240" w:lineRule="atLeast"/>
      </w:pPr>
    </w:p>
    <w:p w14:paraId="11731A98" w14:textId="729A803C" w:rsidR="00E7105E" w:rsidRDefault="00E7105E" w:rsidP="00E7105E">
      <w:pPr>
        <w:widowControl w:val="0"/>
        <w:autoSpaceDE w:val="0"/>
        <w:autoSpaceDN w:val="0"/>
        <w:adjustRightInd w:val="0"/>
        <w:spacing w:line="240" w:lineRule="atLeast"/>
      </w:pPr>
      <w:r w:rsidRPr="00E7105E">
        <w:t xml:space="preserve">As part of the property evaluations within </w:t>
      </w:r>
      <w:proofErr w:type="gramStart"/>
      <w:r w:rsidRPr="00E7105E">
        <w:t>Federal land exchange procedures</w:t>
      </w:r>
      <w:proofErr w:type="gramEnd"/>
      <w:r w:rsidRPr="00E7105E">
        <w:t xml:space="preserve">, the BLM </w:t>
      </w:r>
      <w:r w:rsidR="00D82882">
        <w:t xml:space="preserve">approved </w:t>
      </w:r>
      <w:r w:rsidRPr="00E7105E">
        <w:t>an Environmental Preliminary Analysis on the Federal land on October 23, 2012.  Th</w:t>
      </w:r>
      <w:r w:rsidR="00D82882">
        <w:t>e BLM conducted the</w:t>
      </w:r>
      <w:r w:rsidRPr="00E7105E">
        <w:t xml:space="preserve"> evaluation in accordance with the American Society for Testing and Materials (</w:t>
      </w:r>
      <w:r w:rsidRPr="00E7105E">
        <w:rPr>
          <w:lang w:eastAsia="ja-JP"/>
        </w:rPr>
        <w:t>ASTM) Standards</w:t>
      </w:r>
      <w:r w:rsidR="00D82882" w:rsidRPr="00D82882">
        <w:t xml:space="preserve"> </w:t>
      </w:r>
      <w:r w:rsidR="00D82882" w:rsidRPr="00D82882">
        <w:rPr>
          <w:lang w:eastAsia="ja-JP"/>
        </w:rPr>
        <w:t xml:space="preserve">to meet the “All Appropriate Inquiry” </w:t>
      </w:r>
      <w:r w:rsidR="00D82882">
        <w:rPr>
          <w:lang w:eastAsia="ja-JP"/>
        </w:rPr>
        <w:t>(</w:t>
      </w:r>
      <w:r w:rsidR="00D82882" w:rsidRPr="00D82882">
        <w:rPr>
          <w:lang w:eastAsia="ja-JP"/>
        </w:rPr>
        <w:t>AAI</w:t>
      </w:r>
      <w:r w:rsidR="00D82882">
        <w:rPr>
          <w:lang w:eastAsia="ja-JP"/>
        </w:rPr>
        <w:t>)</w:t>
      </w:r>
      <w:r w:rsidR="00D82882" w:rsidRPr="00D82882">
        <w:rPr>
          <w:lang w:eastAsia="ja-JP"/>
        </w:rPr>
        <w:t xml:space="preserve"> requirements per 40 CFR Part 312</w:t>
      </w:r>
      <w:r w:rsidR="00D82882">
        <w:rPr>
          <w:lang w:eastAsia="ja-JP"/>
        </w:rPr>
        <w:t>.</w:t>
      </w:r>
      <w:r w:rsidRPr="00E7105E">
        <w:rPr>
          <w:lang w:eastAsia="ja-JP"/>
        </w:rPr>
        <w:t xml:space="preserve">  </w:t>
      </w:r>
      <w:r w:rsidRPr="00E7105E">
        <w:t xml:space="preserve">The </w:t>
      </w:r>
      <w:r w:rsidR="00D82882">
        <w:t xml:space="preserve">BLM inventoried the </w:t>
      </w:r>
      <w:r w:rsidRPr="00E7105E">
        <w:t xml:space="preserve">Federal lands in compliance with the AAI regulations to determine that there are no hazardous substances present on the subject parcel.  </w:t>
      </w:r>
    </w:p>
    <w:p w14:paraId="0D977E3E" w14:textId="77777777" w:rsidR="00D82882" w:rsidRDefault="00D82882" w:rsidP="00E7105E">
      <w:pPr>
        <w:widowControl w:val="0"/>
        <w:autoSpaceDE w:val="0"/>
        <w:autoSpaceDN w:val="0"/>
        <w:adjustRightInd w:val="0"/>
        <w:spacing w:line="240" w:lineRule="atLeast"/>
      </w:pPr>
    </w:p>
    <w:p w14:paraId="3EF94EB9" w14:textId="77777777" w:rsidR="00DB6B59" w:rsidRPr="00C83FCA" w:rsidRDefault="00DB6B59" w:rsidP="00DB6B59">
      <w:pPr>
        <w:rPr>
          <w:rFonts w:cstheme="minorHAnsi"/>
          <w:color w:val="000000"/>
        </w:rPr>
      </w:pPr>
      <w:r w:rsidRPr="00C83FCA">
        <w:rPr>
          <w:rFonts w:cstheme="minorHAnsi"/>
          <w:color w:val="000000"/>
        </w:rPr>
        <w:t>There are no known issues involving threatened and endangered species or cultural resources on the subject Federal land.</w:t>
      </w:r>
      <w:r>
        <w:rPr>
          <w:rFonts w:cstheme="minorHAnsi"/>
          <w:color w:val="000000"/>
        </w:rPr>
        <w:t xml:space="preserve">  </w:t>
      </w:r>
      <w:r w:rsidRPr="00C83FCA">
        <w:rPr>
          <w:rFonts w:cstheme="minorHAnsi"/>
          <w:color w:val="000000"/>
        </w:rPr>
        <w:t xml:space="preserve">The exchange will improve manageability of the Federal and non-Federal land.  </w:t>
      </w:r>
    </w:p>
    <w:p w14:paraId="7D4DF6C1" w14:textId="77777777" w:rsidR="00DB6B59" w:rsidRDefault="00DB6B59" w:rsidP="00DB6B59">
      <w:pPr>
        <w:autoSpaceDE w:val="0"/>
        <w:autoSpaceDN w:val="0"/>
        <w:adjustRightInd w:val="0"/>
      </w:pPr>
    </w:p>
    <w:p w14:paraId="3272151D" w14:textId="77777777" w:rsidR="00751C23" w:rsidRPr="00BC2513" w:rsidRDefault="00F422CF" w:rsidP="000D0D5D">
      <w:pPr>
        <w:pStyle w:val="Style"/>
        <w:rPr>
          <w:b/>
        </w:rPr>
      </w:pPr>
      <w:r w:rsidRPr="00BC2513">
        <w:rPr>
          <w:b/>
        </w:rPr>
        <w:t>5</w:t>
      </w:r>
      <w:r w:rsidR="00751C23" w:rsidRPr="00BC2513">
        <w:rPr>
          <w:b/>
        </w:rPr>
        <w:t>.2</w:t>
      </w:r>
      <w:r w:rsidR="00E6227E" w:rsidRPr="00BC2513">
        <w:rPr>
          <w:b/>
        </w:rPr>
        <w:tab/>
      </w:r>
      <w:r w:rsidR="00751C23" w:rsidRPr="00BC2513">
        <w:rPr>
          <w:b/>
        </w:rPr>
        <w:t>Non</w:t>
      </w:r>
      <w:r w:rsidR="00355B3C" w:rsidRPr="00BC2513">
        <w:rPr>
          <w:b/>
        </w:rPr>
        <w:t>-F</w:t>
      </w:r>
      <w:r w:rsidR="00713AB3" w:rsidRPr="00BC2513">
        <w:rPr>
          <w:b/>
        </w:rPr>
        <w:t>ederal Lands</w:t>
      </w:r>
    </w:p>
    <w:p w14:paraId="3272151E" w14:textId="77777777" w:rsidR="002A6E78" w:rsidRDefault="002A6E78" w:rsidP="000D0D5D">
      <w:pPr>
        <w:pStyle w:val="Style"/>
      </w:pPr>
    </w:p>
    <w:p w14:paraId="3272151F" w14:textId="5CAFE142" w:rsidR="00BE76D3" w:rsidRDefault="0068514C" w:rsidP="00BE76D3">
      <w:pPr>
        <w:autoSpaceDE w:val="0"/>
        <w:autoSpaceDN w:val="0"/>
        <w:adjustRightInd w:val="0"/>
        <w:spacing w:line="240" w:lineRule="atLeast"/>
      </w:pPr>
      <w:r w:rsidRPr="0068514C">
        <w:t>The non-Federal lands are adjacent to the SBWA with frontage along the John Day WSR corridor.  The</w:t>
      </w:r>
      <w:r w:rsidR="006C620B">
        <w:t>y</w:t>
      </w:r>
      <w:r w:rsidRPr="0068514C">
        <w:t xml:space="preserve"> provide public access to the river</w:t>
      </w:r>
      <w:r>
        <w:t xml:space="preserve"> </w:t>
      </w:r>
      <w:r w:rsidR="00C83FCA">
        <w:t>with a</w:t>
      </w:r>
      <w:r w:rsidR="00D27A7F">
        <w:t>pproximately</w:t>
      </w:r>
      <w:r w:rsidR="00BE76D3" w:rsidRPr="00377156">
        <w:t xml:space="preserve"> </w:t>
      </w:r>
      <w:r w:rsidR="00983B7F">
        <w:t>one quarter of a</w:t>
      </w:r>
      <w:r w:rsidR="00BE76D3" w:rsidRPr="00377156">
        <w:t xml:space="preserve"> mile of frontage along the east bank of the John Day River.  These lands contain a small area of wetland vegetation along the northern portion of the property</w:t>
      </w:r>
      <w:r w:rsidR="00D662DB">
        <w:t>,</w:t>
      </w:r>
      <w:r w:rsidR="00BE76D3" w:rsidRPr="00377156">
        <w:t xml:space="preserve"> and the entire area west of the county road </w:t>
      </w:r>
      <w:r w:rsidR="006C620B">
        <w:t>is</w:t>
      </w:r>
      <w:r w:rsidR="00BE76D3" w:rsidRPr="00377156">
        <w:t xml:space="preserve"> subject to seasonal </w:t>
      </w:r>
      <w:r w:rsidR="00D657B6">
        <w:t xml:space="preserve">flooding. </w:t>
      </w:r>
    </w:p>
    <w:p w14:paraId="49C71EE1" w14:textId="77777777" w:rsidR="003952B3" w:rsidRDefault="003952B3" w:rsidP="00BE76D3">
      <w:pPr>
        <w:autoSpaceDE w:val="0"/>
        <w:autoSpaceDN w:val="0"/>
        <w:adjustRightInd w:val="0"/>
        <w:spacing w:line="240" w:lineRule="atLeast"/>
      </w:pPr>
    </w:p>
    <w:p w14:paraId="60779603" w14:textId="2580E7BE" w:rsidR="003952B3" w:rsidRDefault="003952B3" w:rsidP="00BE76D3">
      <w:pPr>
        <w:autoSpaceDE w:val="0"/>
        <w:autoSpaceDN w:val="0"/>
        <w:adjustRightInd w:val="0"/>
        <w:spacing w:line="240" w:lineRule="atLeast"/>
      </w:pPr>
      <w:r w:rsidRPr="003952B3">
        <w:t xml:space="preserve">As part of the property evaluations within Federal land exchange procedures, the </w:t>
      </w:r>
      <w:proofErr w:type="gramStart"/>
      <w:r w:rsidRPr="003952B3">
        <w:t xml:space="preserve">BLM  </w:t>
      </w:r>
      <w:r w:rsidR="00D82882">
        <w:t>approved</w:t>
      </w:r>
      <w:proofErr w:type="gramEnd"/>
      <w:r w:rsidRPr="003952B3">
        <w:t xml:space="preserve"> a Pre-Acquisition Liability Survey (PALS) on October 23, 2012.  Th</w:t>
      </w:r>
      <w:r w:rsidR="00D82882">
        <w:t>e BLM conducted the</w:t>
      </w:r>
      <w:r w:rsidRPr="003952B3">
        <w:t xml:space="preserve"> evaluation in accordance with the ASTM Standards</w:t>
      </w:r>
      <w:r w:rsidR="00D82882">
        <w:t xml:space="preserve"> </w:t>
      </w:r>
      <w:r w:rsidRPr="003952B3">
        <w:t>to meet</w:t>
      </w:r>
      <w:r w:rsidR="00983B7F">
        <w:t xml:space="preserve"> the </w:t>
      </w:r>
      <w:r w:rsidRPr="003952B3">
        <w:t>AAI</w:t>
      </w:r>
      <w:r w:rsidR="00D82882">
        <w:t xml:space="preserve"> requirements per 40 CFR Part 312</w:t>
      </w:r>
      <w:r w:rsidRPr="003952B3">
        <w:t xml:space="preserve">.  The </w:t>
      </w:r>
      <w:r w:rsidR="00D82882">
        <w:t xml:space="preserve">BLM inventoried the </w:t>
      </w:r>
      <w:r w:rsidRPr="003952B3">
        <w:t>non-Federal lands in compliance with the AAI regulations to determine that there are no hazardous substances present on the subject parcels.</w:t>
      </w:r>
    </w:p>
    <w:p w14:paraId="32721520" w14:textId="77777777" w:rsidR="00D657B6" w:rsidRDefault="00D657B6" w:rsidP="00D657B6">
      <w:pPr>
        <w:autoSpaceDE w:val="0"/>
        <w:autoSpaceDN w:val="0"/>
        <w:adjustRightInd w:val="0"/>
      </w:pPr>
    </w:p>
    <w:p w14:paraId="32721521" w14:textId="5BC51672" w:rsidR="00D657B6" w:rsidRPr="00EA143A" w:rsidRDefault="00D657B6" w:rsidP="00D657B6">
      <w:pPr>
        <w:autoSpaceDE w:val="0"/>
        <w:autoSpaceDN w:val="0"/>
        <w:adjustRightInd w:val="0"/>
        <w:rPr>
          <w:rFonts w:cstheme="minorHAnsi"/>
          <w:color w:val="000000"/>
        </w:rPr>
      </w:pPr>
      <w:r w:rsidRPr="00377156">
        <w:t>The non-Federal lands are adjacent to the SBW</w:t>
      </w:r>
      <w:r>
        <w:t>A</w:t>
      </w:r>
      <w:r w:rsidR="00682D8E">
        <w:t xml:space="preserve"> </w:t>
      </w:r>
      <w:r w:rsidRPr="00377156">
        <w:t>and have low</w:t>
      </w:r>
      <w:r>
        <w:t>-</w:t>
      </w:r>
      <w:r w:rsidRPr="00377156">
        <w:t xml:space="preserve">bank river frontage with vehicular access provided by an improved county road.  </w:t>
      </w:r>
      <w:r>
        <w:t xml:space="preserve">The </w:t>
      </w:r>
      <w:r w:rsidRPr="00377156">
        <w:t>BLM has determined that the non-Federal land</w:t>
      </w:r>
      <w:r>
        <w:t>s</w:t>
      </w:r>
      <w:r w:rsidRPr="00377156">
        <w:t xml:space="preserve"> provide for a greater public interest value within the WSR </w:t>
      </w:r>
      <w:r>
        <w:t xml:space="preserve">corridor </w:t>
      </w:r>
      <w:r w:rsidRPr="00377156">
        <w:t>than the Federal land</w:t>
      </w:r>
      <w:r w:rsidR="00C83FCA">
        <w:t>s</w:t>
      </w:r>
      <w:r w:rsidR="00983B7F">
        <w:t>,</w:t>
      </w:r>
      <w:r>
        <w:t xml:space="preserve"> which are relatively inaccessible</w:t>
      </w:r>
      <w:r w:rsidRPr="00377156">
        <w:t>.  The non-Federal land</w:t>
      </w:r>
      <w:r>
        <w:t>s</w:t>
      </w:r>
      <w:r w:rsidRPr="00377156">
        <w:t xml:space="preserve"> </w:t>
      </w:r>
      <w:r>
        <w:t xml:space="preserve">can provide public access </w:t>
      </w:r>
      <w:r w:rsidRPr="00377156">
        <w:t>to the river</w:t>
      </w:r>
      <w:r>
        <w:t xml:space="preserve"> from the adjacent county road</w:t>
      </w:r>
      <w:r w:rsidRPr="00377156">
        <w:t xml:space="preserve">.  </w:t>
      </w:r>
      <w:r w:rsidRPr="00C24FDF">
        <w:rPr>
          <w:rFonts w:cstheme="minorHAnsi"/>
          <w:color w:val="000000"/>
        </w:rPr>
        <w:t>Wheeler County Road #29</w:t>
      </w:r>
      <w:r>
        <w:rPr>
          <w:rFonts w:cstheme="minorHAnsi"/>
          <w:color w:val="000000"/>
        </w:rPr>
        <w:t xml:space="preserve">, known as the </w:t>
      </w:r>
      <w:proofErr w:type="spellStart"/>
      <w:r>
        <w:rPr>
          <w:rFonts w:cstheme="minorHAnsi"/>
          <w:color w:val="000000"/>
        </w:rPr>
        <w:t>Clarno</w:t>
      </w:r>
      <w:proofErr w:type="spellEnd"/>
      <w:r>
        <w:rPr>
          <w:rFonts w:cstheme="minorHAnsi"/>
          <w:color w:val="000000"/>
        </w:rPr>
        <w:t xml:space="preserve"> Road, extends through the non-Federal parcels</w:t>
      </w:r>
      <w:r w:rsidR="003952B3">
        <w:rPr>
          <w:rFonts w:cstheme="minorHAnsi"/>
          <w:color w:val="000000"/>
        </w:rPr>
        <w:t>.</w:t>
      </w:r>
    </w:p>
    <w:p w14:paraId="32721522" w14:textId="77777777" w:rsidR="00D657B6" w:rsidRDefault="00D657B6" w:rsidP="00BE76D3">
      <w:pPr>
        <w:autoSpaceDE w:val="0"/>
        <w:autoSpaceDN w:val="0"/>
        <w:adjustRightInd w:val="0"/>
        <w:spacing w:line="240" w:lineRule="atLeast"/>
      </w:pPr>
    </w:p>
    <w:p w14:paraId="32721523" w14:textId="5BA52829" w:rsidR="00D657B6" w:rsidRDefault="00DB6B59" w:rsidP="00BE76D3">
      <w:pPr>
        <w:autoSpaceDE w:val="0"/>
        <w:autoSpaceDN w:val="0"/>
        <w:adjustRightInd w:val="0"/>
        <w:spacing w:line="240" w:lineRule="atLeast"/>
      </w:pPr>
      <w:r>
        <w:t>Some</w:t>
      </w:r>
      <w:r w:rsidR="00FC42D9">
        <w:t xml:space="preserve"> public</w:t>
      </w:r>
      <w:r>
        <w:t xml:space="preserve"> users</w:t>
      </w:r>
      <w:r w:rsidR="00FC42D9">
        <w:t xml:space="preserve"> refer to the non-Federal lands </w:t>
      </w:r>
      <w:r w:rsidR="00D657B6" w:rsidRPr="00D657B6">
        <w:t xml:space="preserve">as the </w:t>
      </w:r>
      <w:proofErr w:type="spellStart"/>
      <w:r w:rsidR="00D657B6" w:rsidRPr="00D657B6">
        <w:t>Clarno</w:t>
      </w:r>
      <w:proofErr w:type="spellEnd"/>
      <w:r w:rsidR="00D657B6" w:rsidRPr="00D657B6">
        <w:t xml:space="preserve"> East boat launch site and use</w:t>
      </w:r>
      <w:r w:rsidR="00D57185">
        <w:t xml:space="preserve"> </w:t>
      </w:r>
      <w:r w:rsidR="00FC42D9">
        <w:t xml:space="preserve">the property </w:t>
      </w:r>
      <w:r w:rsidR="00D657B6" w:rsidRPr="00D657B6">
        <w:t xml:space="preserve">for access to the river.  </w:t>
      </w:r>
      <w:r w:rsidR="00EC0DC4">
        <w:t xml:space="preserve">The current owners </w:t>
      </w:r>
      <w:r w:rsidR="00D657B6" w:rsidRPr="00D657B6">
        <w:t xml:space="preserve">closed </w:t>
      </w:r>
      <w:r w:rsidR="00EC0DC4">
        <w:t xml:space="preserve">access </w:t>
      </w:r>
      <w:r w:rsidR="00D657B6" w:rsidRPr="00D657B6">
        <w:t>to the public due to management concerns.  There may be public interest to add a new boat launch and take-out site</w:t>
      </w:r>
      <w:r w:rsidR="00744812">
        <w:t>;</w:t>
      </w:r>
      <w:r w:rsidR="00D657B6" w:rsidRPr="00D657B6">
        <w:t xml:space="preserve"> however, the John Day River Management Plan requires </w:t>
      </w:r>
      <w:r w:rsidR="00EC0DC4">
        <w:t xml:space="preserve">closure of </w:t>
      </w:r>
      <w:r w:rsidR="00D657B6" w:rsidRPr="00D657B6">
        <w:t xml:space="preserve">an existing recreation site </w:t>
      </w:r>
      <w:r w:rsidR="00EC0DC4">
        <w:t xml:space="preserve">prior to development </w:t>
      </w:r>
      <w:r w:rsidR="00C32C4E">
        <w:t xml:space="preserve">of a </w:t>
      </w:r>
      <w:r w:rsidR="00D657B6" w:rsidRPr="00D657B6">
        <w:t>new site</w:t>
      </w:r>
      <w:r w:rsidR="00C32C4E">
        <w:t>.</w:t>
      </w:r>
      <w:r w:rsidR="00D657B6" w:rsidRPr="00D657B6">
        <w:t xml:space="preserve">  </w:t>
      </w:r>
      <w:r w:rsidR="0002605B" w:rsidRPr="0002605B">
        <w:t xml:space="preserve">The BLM will make decisions regarding closing, opening, or </w:t>
      </w:r>
      <w:r w:rsidR="0002605B" w:rsidRPr="0002605B">
        <w:lastRenderedPageBreak/>
        <w:t xml:space="preserve">developing launch sites through the </w:t>
      </w:r>
      <w:r w:rsidR="009173C3">
        <w:t>National Environmental Policy Act (</w:t>
      </w:r>
      <w:r w:rsidR="0002605B" w:rsidRPr="0002605B">
        <w:t>NEPA</w:t>
      </w:r>
      <w:r w:rsidR="009173C3">
        <w:t>)</w:t>
      </w:r>
      <w:r w:rsidR="0002605B" w:rsidRPr="0002605B">
        <w:t xml:space="preserve"> process with appropriate input from recreation/NLCS and the public.</w:t>
      </w:r>
      <w:r w:rsidR="0002605B">
        <w:t xml:space="preserve">  </w:t>
      </w:r>
    </w:p>
    <w:p w14:paraId="41AA1592" w14:textId="77777777" w:rsidR="00893A16" w:rsidRDefault="00893A16" w:rsidP="00BE76D3">
      <w:pPr>
        <w:autoSpaceDE w:val="0"/>
        <w:autoSpaceDN w:val="0"/>
        <w:adjustRightInd w:val="0"/>
        <w:spacing w:line="240" w:lineRule="atLeast"/>
      </w:pPr>
    </w:p>
    <w:p w14:paraId="3272152B" w14:textId="4CF1C441" w:rsidR="00751C23" w:rsidRPr="00BC2513" w:rsidRDefault="001C1BA5" w:rsidP="003E5D7E">
      <w:pPr>
        <w:pStyle w:val="Style"/>
        <w:ind w:left="13" w:right="59"/>
        <w:rPr>
          <w:b/>
        </w:rPr>
      </w:pPr>
      <w:r w:rsidRPr="00BC2513">
        <w:rPr>
          <w:b/>
        </w:rPr>
        <w:t>6</w:t>
      </w:r>
      <w:r w:rsidR="00751C23" w:rsidRPr="00BC2513">
        <w:rPr>
          <w:b/>
        </w:rPr>
        <w:t>.</w:t>
      </w:r>
      <w:r w:rsidR="00E6227E" w:rsidRPr="00BC2513">
        <w:rPr>
          <w:b/>
        </w:rPr>
        <w:t>0</w:t>
      </w:r>
      <w:r w:rsidR="00E6227E" w:rsidRPr="00BC2513">
        <w:rPr>
          <w:b/>
        </w:rPr>
        <w:tab/>
      </w:r>
      <w:r w:rsidR="000949BD" w:rsidRPr="00BC2513">
        <w:rPr>
          <w:b/>
        </w:rPr>
        <w:t xml:space="preserve">LAND </w:t>
      </w:r>
      <w:r w:rsidR="00751C23" w:rsidRPr="00BC2513">
        <w:rPr>
          <w:b/>
        </w:rPr>
        <w:t>VALUE</w:t>
      </w:r>
      <w:r w:rsidR="000949BD" w:rsidRPr="00BC2513">
        <w:rPr>
          <w:b/>
        </w:rPr>
        <w:t>S</w:t>
      </w:r>
      <w:r w:rsidR="00DE6085" w:rsidRPr="00BC2513">
        <w:rPr>
          <w:b/>
        </w:rPr>
        <w:t xml:space="preserve"> ANALYSIS</w:t>
      </w:r>
      <w:r w:rsidR="00751C23" w:rsidRPr="00BC2513">
        <w:rPr>
          <w:b/>
        </w:rPr>
        <w:t xml:space="preserve"> </w:t>
      </w:r>
    </w:p>
    <w:p w14:paraId="3272152C" w14:textId="77777777" w:rsidR="00455EF6" w:rsidRDefault="00455EF6" w:rsidP="00455EF6">
      <w:pPr>
        <w:rPr>
          <w:b/>
        </w:rPr>
      </w:pPr>
    </w:p>
    <w:p w14:paraId="3272152D" w14:textId="691C3E10" w:rsidR="00AE1CA8" w:rsidRDefault="00DE6085" w:rsidP="00AD2ACE">
      <w:pPr>
        <w:widowControl w:val="0"/>
        <w:autoSpaceDE w:val="0"/>
        <w:autoSpaceDN w:val="0"/>
        <w:adjustRightInd w:val="0"/>
      </w:pPr>
      <w:r w:rsidRPr="00ED268F">
        <w:t>The BLM coordinate</w:t>
      </w:r>
      <w:r w:rsidR="00DC50F7">
        <w:t>d</w:t>
      </w:r>
      <w:r w:rsidRPr="00ED268F">
        <w:t xml:space="preserve"> with </w:t>
      </w:r>
      <w:r w:rsidR="00983B7F">
        <w:t xml:space="preserve">the </w:t>
      </w:r>
      <w:r w:rsidR="009173C3">
        <w:t>Office of Valuation Services (</w:t>
      </w:r>
      <w:r>
        <w:t>OVS</w:t>
      </w:r>
      <w:r w:rsidR="009173C3">
        <w:t>)</w:t>
      </w:r>
      <w:r>
        <w:t xml:space="preserve"> </w:t>
      </w:r>
      <w:r w:rsidR="00351935">
        <w:t xml:space="preserve">to contract </w:t>
      </w:r>
      <w:r w:rsidR="00DC50F7">
        <w:t xml:space="preserve">for a </w:t>
      </w:r>
      <w:r w:rsidR="00DC50F7" w:rsidRPr="00ED268F">
        <w:t>market value appraisa</w:t>
      </w:r>
      <w:r w:rsidR="00DC50F7">
        <w:t>l with an independent fee appraiser</w:t>
      </w:r>
      <w:r w:rsidRPr="00ED268F">
        <w:t xml:space="preserve">.  </w:t>
      </w:r>
      <w:r>
        <w:t xml:space="preserve">The </w:t>
      </w:r>
      <w:r w:rsidRPr="00ED268F">
        <w:t>O</w:t>
      </w:r>
      <w:r>
        <w:t>VS administer</w:t>
      </w:r>
      <w:r w:rsidR="00DC50F7">
        <w:t>ed</w:t>
      </w:r>
      <w:r>
        <w:t xml:space="preserve"> the contract, </w:t>
      </w:r>
      <w:r w:rsidRPr="00ED268F">
        <w:t>prepare</w:t>
      </w:r>
      <w:r w:rsidR="00DC50F7">
        <w:t>d</w:t>
      </w:r>
      <w:r w:rsidRPr="00ED268F">
        <w:t xml:space="preserve"> an Appraisal Review Report</w:t>
      </w:r>
      <w:r w:rsidR="00F937CC">
        <w:t>,</w:t>
      </w:r>
      <w:r w:rsidR="00C129EF">
        <w:t xml:space="preserve"> and</w:t>
      </w:r>
      <w:r w:rsidR="00351935">
        <w:t xml:space="preserve"> approv</w:t>
      </w:r>
      <w:r w:rsidR="00C129EF">
        <w:t>ed</w:t>
      </w:r>
      <w:r w:rsidR="00351935">
        <w:t xml:space="preserve"> the values for agency use</w:t>
      </w:r>
      <w:r w:rsidRPr="00ED268F">
        <w:t xml:space="preserve">.  </w:t>
      </w:r>
    </w:p>
    <w:p w14:paraId="3272152E" w14:textId="77777777" w:rsidR="00AE1CA8" w:rsidRDefault="00AE1CA8" w:rsidP="00AD2ACE">
      <w:pPr>
        <w:widowControl w:val="0"/>
        <w:autoSpaceDE w:val="0"/>
        <w:autoSpaceDN w:val="0"/>
        <w:adjustRightInd w:val="0"/>
      </w:pPr>
    </w:p>
    <w:p w14:paraId="46A648A4" w14:textId="77777777" w:rsidR="00983B7F" w:rsidRDefault="00DC50F7" w:rsidP="00AD2ACE">
      <w:pPr>
        <w:widowControl w:val="0"/>
        <w:autoSpaceDE w:val="0"/>
        <w:autoSpaceDN w:val="0"/>
        <w:adjustRightInd w:val="0"/>
      </w:pPr>
      <w:r>
        <w:t xml:space="preserve">The approved market value opinion for the </w:t>
      </w:r>
      <w:r w:rsidRPr="00F937CC">
        <w:t xml:space="preserve">Federal </w:t>
      </w:r>
      <w:r w:rsidR="00C129EF" w:rsidRPr="00F937CC">
        <w:t>l</w:t>
      </w:r>
      <w:r w:rsidRPr="00F937CC">
        <w:t>and is $95,000</w:t>
      </w:r>
      <w:r w:rsidR="001E1102" w:rsidRPr="00F937CC">
        <w:t>.</w:t>
      </w:r>
      <w:r w:rsidR="001E1102">
        <w:t xml:space="preserve">  The approved market value opinion for </w:t>
      </w:r>
      <w:r w:rsidR="001E1102" w:rsidRPr="00E26CF0">
        <w:t xml:space="preserve">the </w:t>
      </w:r>
      <w:r w:rsidR="00945BDC" w:rsidRPr="00E012F4">
        <w:t>n</w:t>
      </w:r>
      <w:r w:rsidR="001E1102" w:rsidRPr="00E012F4">
        <w:t xml:space="preserve">on-Federal </w:t>
      </w:r>
      <w:r w:rsidR="00C129EF" w:rsidRPr="00E012F4">
        <w:t>land</w:t>
      </w:r>
      <w:r w:rsidR="001E1102" w:rsidRPr="00E012F4">
        <w:t xml:space="preserve"> is $</w:t>
      </w:r>
      <w:r w:rsidR="00FC42D9">
        <w:t>80,000</w:t>
      </w:r>
      <w:r w:rsidR="001E1102">
        <w:t xml:space="preserve">.  The effective valuation date is November 29, </w:t>
      </w:r>
      <w:r w:rsidR="00E1306C">
        <w:t>2011</w:t>
      </w:r>
      <w:r w:rsidR="001E1102">
        <w:t>.</w:t>
      </w:r>
      <w:r w:rsidR="001D6000">
        <w:t xml:space="preserve">  </w:t>
      </w:r>
      <w:r w:rsidR="00AD2ACE" w:rsidRPr="00AD2ACE">
        <w:t xml:space="preserve">A recent consultation with </w:t>
      </w:r>
      <w:r w:rsidR="00983B7F">
        <w:t xml:space="preserve">the </w:t>
      </w:r>
      <w:r w:rsidR="00AD2ACE" w:rsidRPr="00AD2ACE">
        <w:t>OVS in</w:t>
      </w:r>
      <w:r w:rsidR="00D42E61">
        <w:t>dicate</w:t>
      </w:r>
      <w:r w:rsidR="00C32C4E">
        <w:t>s</w:t>
      </w:r>
      <w:r w:rsidR="00D42E61">
        <w:t xml:space="preserve"> that these values are</w:t>
      </w:r>
      <w:r w:rsidR="00AD2ACE" w:rsidRPr="00AD2ACE">
        <w:t xml:space="preserve"> current</w:t>
      </w:r>
      <w:r w:rsidR="00D42E61" w:rsidRPr="00D42E61">
        <w:t xml:space="preserve"> </w:t>
      </w:r>
      <w:r w:rsidR="00D42E61">
        <w:t>and will remain valid through the calendar year 2013</w:t>
      </w:r>
      <w:r w:rsidR="00AD2ACE" w:rsidRPr="00AD2ACE">
        <w:t>.</w:t>
      </w:r>
    </w:p>
    <w:p w14:paraId="3272152F" w14:textId="743D94AA" w:rsidR="00E92CFD" w:rsidRDefault="00AD2ACE" w:rsidP="00AD2ACE">
      <w:pPr>
        <w:widowControl w:val="0"/>
        <w:autoSpaceDE w:val="0"/>
        <w:autoSpaceDN w:val="0"/>
        <w:adjustRightInd w:val="0"/>
      </w:pPr>
      <w:r w:rsidRPr="00AD2ACE">
        <w:t xml:space="preserve">  </w:t>
      </w:r>
    </w:p>
    <w:p w14:paraId="32721533" w14:textId="3D40B121" w:rsidR="00B21F1F" w:rsidRPr="00BC2513" w:rsidRDefault="0019715A" w:rsidP="00B21F1F">
      <w:pPr>
        <w:rPr>
          <w:b/>
        </w:rPr>
      </w:pPr>
      <w:r w:rsidRPr="00BC2513">
        <w:rPr>
          <w:b/>
        </w:rPr>
        <w:t>6.1</w:t>
      </w:r>
      <w:r w:rsidRPr="00BC2513">
        <w:rPr>
          <w:b/>
        </w:rPr>
        <w:tab/>
      </w:r>
      <w:r w:rsidR="00B21F1F" w:rsidRPr="00BC2513">
        <w:rPr>
          <w:b/>
        </w:rPr>
        <w:t>Equalization Strategy</w:t>
      </w:r>
    </w:p>
    <w:p w14:paraId="32721534" w14:textId="77777777" w:rsidR="0008734E" w:rsidRDefault="0008734E" w:rsidP="0019715A"/>
    <w:p w14:paraId="32721535" w14:textId="3F2B332A" w:rsidR="00A40B35" w:rsidRPr="00ED268F" w:rsidRDefault="00A40B35" w:rsidP="00A40B35">
      <w:pPr>
        <w:widowControl w:val="0"/>
        <w:autoSpaceDE w:val="0"/>
        <w:autoSpaceDN w:val="0"/>
        <w:adjustRightInd w:val="0"/>
      </w:pPr>
      <w:r>
        <w:rPr>
          <w:color w:val="000000"/>
        </w:rPr>
        <w:t>The land exchange regulations</w:t>
      </w:r>
      <w:r w:rsidRPr="00ED268F">
        <w:rPr>
          <w:color w:val="000000"/>
        </w:rPr>
        <w:t xml:space="preserve"> allow equalization of value by adjusting acreage or by cash equalization not to exceed 25 percent of the total value of the Federal lands.  The preferred option would be to modify the proposal to minimize cash equalization.  However, section 1754(f)(3)(A)(ii) </w:t>
      </w:r>
      <w:r>
        <w:rPr>
          <w:color w:val="000000"/>
        </w:rPr>
        <w:t xml:space="preserve">of </w:t>
      </w:r>
      <w:r w:rsidR="006447C1">
        <w:rPr>
          <w:color w:val="000000"/>
        </w:rPr>
        <w:t>the Omnibus Act</w:t>
      </w:r>
      <w:r w:rsidRPr="00ED268F">
        <w:rPr>
          <w:color w:val="000000"/>
        </w:rPr>
        <w:t xml:space="preserve"> only allows modification </w:t>
      </w:r>
      <w:r>
        <w:rPr>
          <w:color w:val="000000"/>
        </w:rPr>
        <w:t xml:space="preserve">to the parcels involved in the exchange </w:t>
      </w:r>
      <w:r w:rsidRPr="00ED268F">
        <w:rPr>
          <w:color w:val="000000"/>
        </w:rPr>
        <w:t>by reducing the acreage of the Federal or non-Federal land.</w:t>
      </w:r>
    </w:p>
    <w:p w14:paraId="32721536" w14:textId="77777777" w:rsidR="00A40B35" w:rsidRDefault="00A40B35" w:rsidP="0008734E"/>
    <w:p w14:paraId="32721537" w14:textId="03D823BC" w:rsidR="0008734E" w:rsidRDefault="0008734E" w:rsidP="0008734E">
      <w:r>
        <w:t>During the informal review of the Feasibility Analysis</w:t>
      </w:r>
      <w:r w:rsidR="006A0F6B">
        <w:t>,</w:t>
      </w:r>
      <w:r>
        <w:t xml:space="preserve"> </w:t>
      </w:r>
      <w:proofErr w:type="gramStart"/>
      <w:r>
        <w:t xml:space="preserve">a value equalization strategy was developed </w:t>
      </w:r>
      <w:r w:rsidR="004C6807">
        <w:t xml:space="preserve">by the Washington Office </w:t>
      </w:r>
      <w:r>
        <w:t xml:space="preserve">that divides the transaction into two separate components, a </w:t>
      </w:r>
      <w:r w:rsidR="00C32C4E">
        <w:t xml:space="preserve">land </w:t>
      </w:r>
      <w:r>
        <w:t>purchase and a land exchange</w:t>
      </w:r>
      <w:proofErr w:type="gramEnd"/>
      <w:r w:rsidR="00355A94">
        <w:t>.  Th</w:t>
      </w:r>
      <w:r w:rsidR="00C32C4E">
        <w:t xml:space="preserve">e intent </w:t>
      </w:r>
      <w:r w:rsidR="00355A94">
        <w:t>is</w:t>
      </w:r>
      <w:r>
        <w:t xml:space="preserve"> to allow for the equalization of values within regulatory limits.  </w:t>
      </w:r>
      <w:r w:rsidR="00355A94">
        <w:t xml:space="preserve">To support this approach, </w:t>
      </w:r>
      <w:r w:rsidR="003952B3">
        <w:t xml:space="preserve">Hugh </w:t>
      </w:r>
      <w:r>
        <w:t xml:space="preserve">Kelly </w:t>
      </w:r>
      <w:r w:rsidR="0002605B">
        <w:t xml:space="preserve">and Rosemary </w:t>
      </w:r>
      <w:proofErr w:type="spellStart"/>
      <w:r>
        <w:t>McGreer</w:t>
      </w:r>
      <w:proofErr w:type="spellEnd"/>
      <w:r>
        <w:t xml:space="preserve"> have offered to sell all right, title</w:t>
      </w:r>
      <w:r w:rsidR="00AE1CA8">
        <w:t>,</w:t>
      </w:r>
      <w:r>
        <w:t xml:space="preserve"> and interest in </w:t>
      </w:r>
      <w:r w:rsidR="00F70510">
        <w:t>T</w:t>
      </w:r>
      <w:r>
        <w:t xml:space="preserve">ax </w:t>
      </w:r>
      <w:r w:rsidR="00F70510">
        <w:t>L</w:t>
      </w:r>
      <w:r>
        <w:t xml:space="preserve">ot 700 to the United States.  </w:t>
      </w:r>
      <w:r w:rsidR="00C32C4E">
        <w:t xml:space="preserve">The BLM </w:t>
      </w:r>
      <w:r w:rsidR="00734C2F">
        <w:t>has acquired by</w:t>
      </w:r>
      <w:r>
        <w:t xml:space="preserve"> purchas</w:t>
      </w:r>
      <w:r w:rsidR="00C32C4E">
        <w:t>e</w:t>
      </w:r>
      <w:r>
        <w:t xml:space="preserve"> </w:t>
      </w:r>
      <w:r w:rsidR="00F70510">
        <w:t>T</w:t>
      </w:r>
      <w:r w:rsidR="00C32C4E">
        <w:t xml:space="preserve">ax </w:t>
      </w:r>
      <w:r w:rsidR="00F70510">
        <w:t>L</w:t>
      </w:r>
      <w:r w:rsidR="00C32C4E">
        <w:t xml:space="preserve">ot 700 </w:t>
      </w:r>
      <w:r>
        <w:t xml:space="preserve">with funding from the </w:t>
      </w:r>
      <w:r w:rsidR="00F70510">
        <w:t>e</w:t>
      </w:r>
      <w:r>
        <w:t xml:space="preserve">mergency account of the Land and Water Conservation Fund (LWCF).  The purchase price offer </w:t>
      </w:r>
      <w:r w:rsidR="00734C2F">
        <w:t>was</w:t>
      </w:r>
      <w:r>
        <w:t xml:space="preserve"> $40,000</w:t>
      </w:r>
      <w:r w:rsidR="006A0F6B">
        <w:t xml:space="preserve"> – </w:t>
      </w:r>
      <w:r>
        <w:t>the approved market value</w:t>
      </w:r>
      <w:r w:rsidR="00BC2513">
        <w:t xml:space="preserve"> that </w:t>
      </w:r>
      <w:r w:rsidR="00C32C4E">
        <w:t xml:space="preserve">the </w:t>
      </w:r>
      <w:r w:rsidR="00EE3AB1">
        <w:t>OVS</w:t>
      </w:r>
      <w:r w:rsidR="00BC2513">
        <w:t xml:space="preserve"> verified in January 2013</w:t>
      </w:r>
      <w:r w:rsidR="00EE3AB1">
        <w:t>.</w:t>
      </w:r>
      <w:r>
        <w:t xml:space="preserve"> </w:t>
      </w:r>
      <w:r w:rsidR="006A0F6B">
        <w:t xml:space="preserve"> </w:t>
      </w:r>
      <w:r w:rsidR="00BC2513">
        <w:t>The OVS confirmed that the value of the Fed</w:t>
      </w:r>
      <w:r w:rsidR="00FC42D9">
        <w:t>e</w:t>
      </w:r>
      <w:r w:rsidR="00BC2513">
        <w:t>ral and non-Federal lands remain</w:t>
      </w:r>
      <w:r w:rsidR="00C32C4E">
        <w:t>s</w:t>
      </w:r>
      <w:r w:rsidR="00BC2513">
        <w:t xml:space="preserve"> valid through </w:t>
      </w:r>
      <w:r w:rsidR="006A0F6B">
        <w:t>cal</w:t>
      </w:r>
      <w:r w:rsidR="00BC2513">
        <w:t xml:space="preserve">endar year 2013.  </w:t>
      </w:r>
      <w:r>
        <w:t>The acquisition case is serialized OR-67600 and w</w:t>
      </w:r>
      <w:r w:rsidR="003952B3">
        <w:t>as</w:t>
      </w:r>
      <w:r>
        <w:t xml:space="preserve"> processed separately</w:t>
      </w:r>
      <w:r w:rsidR="00355A94">
        <w:t xml:space="preserve"> from the exchange</w:t>
      </w:r>
      <w:r>
        <w:t>.</w:t>
      </w:r>
    </w:p>
    <w:p w14:paraId="32721538" w14:textId="77777777" w:rsidR="00F03912" w:rsidRDefault="00F03912" w:rsidP="0008734E"/>
    <w:p w14:paraId="32721539" w14:textId="4AFA8A7C" w:rsidR="008B593B" w:rsidRDefault="008B593B" w:rsidP="008B593B">
      <w:r w:rsidRPr="00D4408A">
        <w:t xml:space="preserve">In this </w:t>
      </w:r>
      <w:r w:rsidR="00734C2F">
        <w:t xml:space="preserve">exchange </w:t>
      </w:r>
      <w:r w:rsidRPr="00D4408A">
        <w:t>transaction</w:t>
      </w:r>
      <w:r w:rsidR="00FC42D9">
        <w:t>, the</w:t>
      </w:r>
      <w:r w:rsidRPr="00D4408A">
        <w:t xml:space="preserve"> BLM will convey the Federal </w:t>
      </w:r>
      <w:r w:rsidR="00FC42D9">
        <w:t>land</w:t>
      </w:r>
      <w:r w:rsidRPr="00D4408A">
        <w:t xml:space="preserve"> valued at $95,000 for the </w:t>
      </w:r>
      <w:r w:rsidR="00FC42D9">
        <w:t>non-Federa</w:t>
      </w:r>
      <w:r w:rsidR="005543E5">
        <w:t>l</w:t>
      </w:r>
      <w:r w:rsidR="00FC42D9">
        <w:t xml:space="preserve"> land (</w:t>
      </w:r>
      <w:proofErr w:type="spellStart"/>
      <w:r w:rsidRPr="00D4408A">
        <w:t>McGreer</w:t>
      </w:r>
      <w:proofErr w:type="spellEnd"/>
      <w:r w:rsidRPr="00D4408A">
        <w:t xml:space="preserve"> </w:t>
      </w:r>
      <w:r w:rsidR="00F70510">
        <w:t>T</w:t>
      </w:r>
      <w:r w:rsidRPr="00D4408A">
        <w:t xml:space="preserve">ax </w:t>
      </w:r>
      <w:r w:rsidR="00F70510">
        <w:t>L</w:t>
      </w:r>
      <w:r w:rsidRPr="00D4408A">
        <w:t>ot 902</w:t>
      </w:r>
      <w:r w:rsidR="00FC42D9">
        <w:t>)</w:t>
      </w:r>
      <w:r w:rsidRPr="00D4408A">
        <w:t xml:space="preserve"> valued at $80,000.  This would include a cash equalization payment </w:t>
      </w:r>
      <w:r w:rsidR="00EE3AB1">
        <w:t xml:space="preserve">of $15,000 </w:t>
      </w:r>
      <w:r w:rsidRPr="00D4408A">
        <w:t>to the United States</w:t>
      </w:r>
      <w:r w:rsidR="00EE3AB1">
        <w:t>.</w:t>
      </w:r>
      <w:r w:rsidR="00C83FCA">
        <w:t xml:space="preserve">  This cash equalization payment is 15.79 percent of the value of the Federal land and within the 25 percent </w:t>
      </w:r>
      <w:r w:rsidR="00C265C5">
        <w:t xml:space="preserve">maximum difference established by regulation. </w:t>
      </w:r>
    </w:p>
    <w:p w14:paraId="3272153A" w14:textId="77777777" w:rsidR="00746AEC" w:rsidRDefault="00746AEC" w:rsidP="0008734E"/>
    <w:p w14:paraId="3272153B" w14:textId="77777777" w:rsidR="00751C23" w:rsidRPr="006052A1" w:rsidRDefault="00E07C7C" w:rsidP="00E07C7C">
      <w:pPr>
        <w:pStyle w:val="Style"/>
        <w:ind w:right="59"/>
        <w:rPr>
          <w:b/>
        </w:rPr>
      </w:pPr>
      <w:r w:rsidRPr="006052A1">
        <w:rPr>
          <w:b/>
        </w:rPr>
        <w:t>7.0</w:t>
      </w:r>
      <w:r w:rsidRPr="006052A1">
        <w:rPr>
          <w:b/>
        </w:rPr>
        <w:tab/>
      </w:r>
      <w:r w:rsidR="00751C23" w:rsidRPr="006052A1">
        <w:rPr>
          <w:b/>
        </w:rPr>
        <w:t xml:space="preserve">TITLE CONSIDERATIONS </w:t>
      </w:r>
    </w:p>
    <w:p w14:paraId="3272153C" w14:textId="77777777" w:rsidR="000B0DC9" w:rsidRDefault="000B0DC9" w:rsidP="000B0DC9">
      <w:pPr>
        <w:pStyle w:val="Style"/>
        <w:ind w:right="59"/>
        <w:rPr>
          <w:b/>
          <w:u w:val="single"/>
        </w:rPr>
      </w:pPr>
    </w:p>
    <w:p w14:paraId="3272153D" w14:textId="77777777" w:rsidR="00751C23" w:rsidRPr="006052A1" w:rsidRDefault="00DE6085" w:rsidP="003E5D7E">
      <w:pPr>
        <w:pStyle w:val="Style"/>
        <w:ind w:left="8" w:right="59"/>
        <w:rPr>
          <w:b/>
        </w:rPr>
      </w:pPr>
      <w:r w:rsidRPr="006052A1">
        <w:rPr>
          <w:b/>
        </w:rPr>
        <w:t>7</w:t>
      </w:r>
      <w:r w:rsidR="00E6227E" w:rsidRPr="006052A1">
        <w:rPr>
          <w:b/>
        </w:rPr>
        <w:t>.1</w:t>
      </w:r>
      <w:r w:rsidR="00E6227E" w:rsidRPr="006052A1">
        <w:rPr>
          <w:b/>
        </w:rPr>
        <w:tab/>
      </w:r>
      <w:r w:rsidR="008F6E03" w:rsidRPr="006052A1">
        <w:rPr>
          <w:b/>
        </w:rPr>
        <w:t>Federal Land</w:t>
      </w:r>
    </w:p>
    <w:p w14:paraId="3272153E" w14:textId="77777777" w:rsidR="008055F0" w:rsidRDefault="008055F0" w:rsidP="00101007">
      <w:pPr>
        <w:autoSpaceDE w:val="0"/>
        <w:autoSpaceDN w:val="0"/>
        <w:adjustRightInd w:val="0"/>
        <w:spacing w:line="240" w:lineRule="atLeast"/>
        <w:rPr>
          <w:color w:val="0070C0"/>
        </w:rPr>
      </w:pPr>
    </w:p>
    <w:p w14:paraId="45587E7C" w14:textId="184C60B0" w:rsidR="00734C2F" w:rsidRPr="00E6654B" w:rsidRDefault="00734C2F" w:rsidP="00734C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59" w:lineRule="exact"/>
        <w:rPr>
          <w:rFonts w:cs="Calibri"/>
          <w:color w:val="000000"/>
        </w:rPr>
      </w:pPr>
      <w:proofErr w:type="gramStart"/>
      <w:r>
        <w:rPr>
          <w:color w:val="000000"/>
        </w:rPr>
        <w:t>The BLM Cadastral Survey Group conducted a D</w:t>
      </w:r>
      <w:r>
        <w:t>ependent Resurvey under Special Instructions, Group Number 2329, Oregon, as follows:</w:t>
      </w:r>
      <w:r w:rsidR="00F70510">
        <w:t xml:space="preserve"> </w:t>
      </w:r>
      <w:r>
        <w:t xml:space="preserve"> “Dependent Resurvey of a Portion of the Sub-divisional Lines of Section Lines of Sections 3 and 10; the Further Subdivision of Sections 3 and 10; and Survey of Meanders of a Portion of the Right Bank of the John Day River, through </w:t>
      </w:r>
      <w:r>
        <w:lastRenderedPageBreak/>
        <w:t>Sections 3 and 10, T. 8 S., R. 19 E., Willamette Meridian, Oregon.”</w:t>
      </w:r>
      <w:proofErr w:type="gramEnd"/>
      <w:r>
        <w:t xml:space="preserve">  The</w:t>
      </w:r>
      <w:r w:rsidR="00B25927">
        <w:t>y approved the</w:t>
      </w:r>
      <w:r>
        <w:t xml:space="preserve"> final official plat of survey</w:t>
      </w:r>
      <w:r w:rsidR="00B25927">
        <w:t xml:space="preserve"> </w:t>
      </w:r>
      <w:r w:rsidR="00B25927" w:rsidRPr="00B25927">
        <w:t>determin</w:t>
      </w:r>
      <w:r w:rsidR="00B25927">
        <w:t>ing</w:t>
      </w:r>
      <w:r w:rsidR="00B25927" w:rsidRPr="00B25927">
        <w:t xml:space="preserve"> the total acreage to be 15.43 acres</w:t>
      </w:r>
      <w:r w:rsidR="00B25927">
        <w:t xml:space="preserve"> </w:t>
      </w:r>
      <w:r w:rsidR="0085682B">
        <w:t xml:space="preserve">on </w:t>
      </w:r>
      <w:r>
        <w:t>September 28, 2011</w:t>
      </w:r>
      <w:r w:rsidR="0085682B">
        <w:t>.</w:t>
      </w:r>
      <w:r w:rsidRPr="00E6654B">
        <w:rPr>
          <w:rFonts w:cs="Calibri"/>
          <w:color w:val="000000"/>
        </w:rPr>
        <w:t xml:space="preserve"> </w:t>
      </w:r>
    </w:p>
    <w:p w14:paraId="28905D50" w14:textId="77777777" w:rsidR="00734C2F" w:rsidRDefault="00734C2F" w:rsidP="00101007">
      <w:pPr>
        <w:autoSpaceDE w:val="0"/>
        <w:autoSpaceDN w:val="0"/>
        <w:adjustRightInd w:val="0"/>
        <w:spacing w:line="240" w:lineRule="atLeast"/>
      </w:pPr>
    </w:p>
    <w:p w14:paraId="3272153F" w14:textId="43EBE7F4" w:rsidR="006112B7" w:rsidRPr="008055F0" w:rsidRDefault="00D57185" w:rsidP="00101007">
      <w:pPr>
        <w:autoSpaceDE w:val="0"/>
        <w:autoSpaceDN w:val="0"/>
        <w:adjustRightInd w:val="0"/>
        <w:spacing w:line="240" w:lineRule="atLeast"/>
        <w:rPr>
          <w:rFonts w:cstheme="minorHAnsi"/>
        </w:rPr>
      </w:pPr>
      <w:r>
        <w:t>T</w:t>
      </w:r>
      <w:r w:rsidRPr="00D57185">
        <w:t xml:space="preserve">he </w:t>
      </w:r>
      <w:r w:rsidR="006A0F6B">
        <w:t>WSR</w:t>
      </w:r>
      <w:r w:rsidRPr="00D57185">
        <w:t xml:space="preserve"> Act</w:t>
      </w:r>
      <w:r w:rsidR="006A0F6B">
        <w:t xml:space="preserve"> (</w:t>
      </w:r>
      <w:r w:rsidRPr="00D57185">
        <w:t>enacted in 1968</w:t>
      </w:r>
      <w:r w:rsidR="006A0F6B">
        <w:t xml:space="preserve">, </w:t>
      </w:r>
      <w:r w:rsidRPr="00D57185">
        <w:t>Public Law 90-542; 16 U.S.C. 1271 et seq.)</w:t>
      </w:r>
      <w:r>
        <w:t xml:space="preserve"> affects</w:t>
      </w:r>
      <w:r w:rsidRPr="00D57185">
        <w:t xml:space="preserve"> </w:t>
      </w:r>
      <w:r>
        <w:t>p</w:t>
      </w:r>
      <w:r w:rsidR="00164CC4" w:rsidRPr="008055F0">
        <w:t>ortions of the Federal land</w:t>
      </w:r>
      <w:r>
        <w:t>.</w:t>
      </w:r>
      <w:r w:rsidR="00164CC4" w:rsidRPr="008055F0">
        <w:t xml:space="preserve">  The </w:t>
      </w:r>
      <w:r w:rsidR="00476CE4">
        <w:t>WSR</w:t>
      </w:r>
      <w:r w:rsidR="00D82F5E">
        <w:t xml:space="preserve"> </w:t>
      </w:r>
      <w:r w:rsidR="00476CE4">
        <w:t>A</w:t>
      </w:r>
      <w:r w:rsidR="00D82F5E">
        <w:t>ct</w:t>
      </w:r>
      <w:r w:rsidR="00164CC4" w:rsidRPr="008055F0">
        <w:t xml:space="preserve"> safeguards the special character of rivers while also recognizing the potential for their appropriate use and development. </w:t>
      </w:r>
      <w:r w:rsidR="00D82F5E">
        <w:t xml:space="preserve"> </w:t>
      </w:r>
      <w:r w:rsidR="00164CC4" w:rsidRPr="008055F0">
        <w:t>The designated boundary</w:t>
      </w:r>
      <w:r>
        <w:t xml:space="preserve">, </w:t>
      </w:r>
      <w:r w:rsidRPr="00D57185">
        <w:t>established primarily by aliquot part description as well as utilizing existing roads and geographic features</w:t>
      </w:r>
      <w:r>
        <w:t>,</w:t>
      </w:r>
      <w:r w:rsidR="00164CC4" w:rsidRPr="008055F0">
        <w:t xml:space="preserve"> often exceeds </w:t>
      </w:r>
      <w:r w:rsidR="006A0F6B">
        <w:t>one quarter of a</w:t>
      </w:r>
      <w:r w:rsidR="00164CC4" w:rsidRPr="008055F0">
        <w:t xml:space="preserve"> mile from the river</w:t>
      </w:r>
      <w:r w:rsidR="006A0F6B">
        <w:t>’</w:t>
      </w:r>
      <w:r w:rsidR="00164CC4" w:rsidRPr="008055F0">
        <w:t xml:space="preserve">s bank.  </w:t>
      </w:r>
    </w:p>
    <w:p w14:paraId="32721540" w14:textId="77777777" w:rsidR="004E2522" w:rsidRDefault="004E2522" w:rsidP="006112B7">
      <w:pPr>
        <w:autoSpaceDE w:val="0"/>
        <w:autoSpaceDN w:val="0"/>
        <w:adjustRightInd w:val="0"/>
        <w:rPr>
          <w:rFonts w:cstheme="minorHAnsi"/>
        </w:rPr>
      </w:pPr>
    </w:p>
    <w:p w14:paraId="32721541" w14:textId="26E014E3" w:rsidR="008055F0" w:rsidRDefault="006112B7" w:rsidP="006112B7">
      <w:pPr>
        <w:autoSpaceDE w:val="0"/>
        <w:autoSpaceDN w:val="0"/>
        <w:adjustRightInd w:val="0"/>
        <w:rPr>
          <w:rFonts w:cstheme="minorHAnsi"/>
        </w:rPr>
      </w:pPr>
      <w:r w:rsidRPr="00C24FDF">
        <w:rPr>
          <w:rFonts w:cstheme="minorHAnsi"/>
        </w:rPr>
        <w:t>The Federal land</w:t>
      </w:r>
      <w:r>
        <w:rPr>
          <w:rFonts w:cstheme="minorHAnsi"/>
        </w:rPr>
        <w:t xml:space="preserve"> </w:t>
      </w:r>
      <w:r w:rsidR="00EE3AB1">
        <w:rPr>
          <w:rFonts w:cstheme="minorHAnsi"/>
        </w:rPr>
        <w:t>lies</w:t>
      </w:r>
      <w:r>
        <w:rPr>
          <w:rFonts w:cstheme="minorHAnsi"/>
        </w:rPr>
        <w:t xml:space="preserve"> </w:t>
      </w:r>
      <w:r w:rsidR="005371B1">
        <w:rPr>
          <w:rFonts w:cstheme="minorHAnsi"/>
        </w:rPr>
        <w:t xml:space="preserve">along the edge of a larger Federal parcel </w:t>
      </w:r>
      <w:r>
        <w:rPr>
          <w:rFonts w:cstheme="minorHAnsi"/>
        </w:rPr>
        <w:t xml:space="preserve">adjacent to the </w:t>
      </w:r>
      <w:proofErr w:type="spellStart"/>
      <w:r>
        <w:rPr>
          <w:rFonts w:cstheme="minorHAnsi"/>
        </w:rPr>
        <w:t>McGreer</w:t>
      </w:r>
      <w:proofErr w:type="spellEnd"/>
      <w:r>
        <w:rPr>
          <w:rFonts w:cstheme="minorHAnsi"/>
        </w:rPr>
        <w:t xml:space="preserve"> </w:t>
      </w:r>
      <w:r w:rsidR="004C6807">
        <w:rPr>
          <w:rFonts w:cstheme="minorHAnsi"/>
        </w:rPr>
        <w:t>f</w:t>
      </w:r>
      <w:r>
        <w:rPr>
          <w:rFonts w:cstheme="minorHAnsi"/>
        </w:rPr>
        <w:t>amily farm in Wasco County</w:t>
      </w:r>
      <w:r w:rsidRPr="00C24FDF">
        <w:rPr>
          <w:rFonts w:cstheme="minorHAnsi"/>
        </w:rPr>
        <w:t xml:space="preserve">.  </w:t>
      </w:r>
      <w:r>
        <w:rPr>
          <w:rFonts w:cstheme="minorHAnsi"/>
        </w:rPr>
        <w:t>These lands are predominantly dry rangeland</w:t>
      </w:r>
      <w:r w:rsidR="00A75632">
        <w:rPr>
          <w:rFonts w:cstheme="minorHAnsi"/>
        </w:rPr>
        <w:t>,</w:t>
      </w:r>
      <w:r>
        <w:rPr>
          <w:rFonts w:cstheme="minorHAnsi"/>
        </w:rPr>
        <w:t xml:space="preserve"> with the exception of </w:t>
      </w:r>
      <w:r w:rsidR="00EE3AB1">
        <w:rPr>
          <w:rFonts w:cstheme="minorHAnsi"/>
        </w:rPr>
        <w:t>irrigated</w:t>
      </w:r>
      <w:r>
        <w:rPr>
          <w:rFonts w:cstheme="minorHAnsi"/>
        </w:rPr>
        <w:t xml:space="preserve"> areas along the north and</w:t>
      </w:r>
      <w:r w:rsidR="00A85527">
        <w:rPr>
          <w:rFonts w:cstheme="minorHAnsi"/>
        </w:rPr>
        <w:t xml:space="preserve"> south boundary</w:t>
      </w:r>
      <w:r w:rsidR="00EE3AB1">
        <w:rPr>
          <w:rFonts w:cstheme="minorHAnsi"/>
        </w:rPr>
        <w:t>.</w:t>
      </w:r>
      <w:r>
        <w:rPr>
          <w:rFonts w:cstheme="minorHAnsi"/>
        </w:rPr>
        <w:t xml:space="preserve">  These cultivated areas </w:t>
      </w:r>
      <w:r w:rsidR="00A75632">
        <w:rPr>
          <w:rFonts w:cstheme="minorHAnsi"/>
        </w:rPr>
        <w:t xml:space="preserve">on the Federal land </w:t>
      </w:r>
      <w:r w:rsidR="005371B1">
        <w:rPr>
          <w:rFonts w:cstheme="minorHAnsi"/>
        </w:rPr>
        <w:t>comprise</w:t>
      </w:r>
      <w:r w:rsidR="00A75632">
        <w:rPr>
          <w:rFonts w:cstheme="minorHAnsi"/>
        </w:rPr>
        <w:t xml:space="preserve"> </w:t>
      </w:r>
      <w:r>
        <w:rPr>
          <w:rFonts w:cstheme="minorHAnsi"/>
        </w:rPr>
        <w:t>1</w:t>
      </w:r>
      <w:r w:rsidR="005371B1">
        <w:rPr>
          <w:rFonts w:cstheme="minorHAnsi"/>
        </w:rPr>
        <w:t>5</w:t>
      </w:r>
      <w:r>
        <w:rPr>
          <w:rFonts w:cstheme="minorHAnsi"/>
        </w:rPr>
        <w:t>.</w:t>
      </w:r>
      <w:r w:rsidR="005371B1">
        <w:rPr>
          <w:rFonts w:cstheme="minorHAnsi"/>
        </w:rPr>
        <w:t>7</w:t>
      </w:r>
      <w:r>
        <w:rPr>
          <w:rFonts w:cstheme="minorHAnsi"/>
        </w:rPr>
        <w:t xml:space="preserve"> acres of water rights included under </w:t>
      </w:r>
      <w:r w:rsidR="006A0F6B">
        <w:rPr>
          <w:rFonts w:cstheme="minorHAnsi"/>
        </w:rPr>
        <w:t>c</w:t>
      </w:r>
      <w:r>
        <w:rPr>
          <w:rFonts w:cstheme="minorHAnsi"/>
        </w:rPr>
        <w:t>ertificate numbers 53715, 65824, 83272, and 83294</w:t>
      </w:r>
      <w:r w:rsidR="00742200">
        <w:rPr>
          <w:rFonts w:cstheme="minorHAnsi"/>
        </w:rPr>
        <w:t>, as indicated in the table below:</w:t>
      </w:r>
      <w:r>
        <w:rPr>
          <w:rFonts w:cstheme="minorHAnsi"/>
        </w:rPr>
        <w:t xml:space="preserve">  </w:t>
      </w:r>
    </w:p>
    <w:p w14:paraId="32721542" w14:textId="77777777" w:rsidR="00742200" w:rsidRPr="00081F29" w:rsidRDefault="00742200" w:rsidP="00742200">
      <w:pPr>
        <w:rPr>
          <w:rFonts w:eastAsia="Calibri"/>
        </w:rPr>
      </w:pPr>
    </w:p>
    <w:tbl>
      <w:tblPr>
        <w:tblStyle w:val="TableGrid"/>
        <w:tblW w:w="0" w:type="auto"/>
        <w:tblInd w:w="198" w:type="dxa"/>
        <w:tblLook w:val="04A0" w:firstRow="1" w:lastRow="0" w:firstColumn="1" w:lastColumn="0" w:noHBand="0" w:noVBand="1"/>
      </w:tblPr>
      <w:tblGrid>
        <w:gridCol w:w="1176"/>
        <w:gridCol w:w="984"/>
        <w:gridCol w:w="1080"/>
        <w:gridCol w:w="1980"/>
        <w:gridCol w:w="1440"/>
        <w:gridCol w:w="2520"/>
      </w:tblGrid>
      <w:tr w:rsidR="00742200" w:rsidRPr="00081F29" w14:paraId="32721549" w14:textId="77777777" w:rsidTr="006A0F6B">
        <w:tc>
          <w:tcPr>
            <w:tcW w:w="1176" w:type="dxa"/>
            <w:vAlign w:val="center"/>
          </w:tcPr>
          <w:p w14:paraId="32721543" w14:textId="77777777" w:rsidR="00742200" w:rsidRPr="00081F29" w:rsidRDefault="00742200" w:rsidP="00742200">
            <w:pPr>
              <w:jc w:val="center"/>
            </w:pPr>
            <w:r w:rsidRPr="00081F29">
              <w:t>Township</w:t>
            </w:r>
          </w:p>
        </w:tc>
        <w:tc>
          <w:tcPr>
            <w:tcW w:w="984" w:type="dxa"/>
            <w:vAlign w:val="center"/>
          </w:tcPr>
          <w:p w14:paraId="32721544" w14:textId="77777777" w:rsidR="00742200" w:rsidRPr="00081F29" w:rsidRDefault="00742200" w:rsidP="00742200">
            <w:pPr>
              <w:jc w:val="center"/>
            </w:pPr>
            <w:r w:rsidRPr="00081F29">
              <w:t>Range</w:t>
            </w:r>
          </w:p>
        </w:tc>
        <w:tc>
          <w:tcPr>
            <w:tcW w:w="1080" w:type="dxa"/>
            <w:vAlign w:val="center"/>
          </w:tcPr>
          <w:p w14:paraId="32721545" w14:textId="77777777" w:rsidR="00742200" w:rsidRPr="00081F29" w:rsidRDefault="00742200" w:rsidP="00742200">
            <w:pPr>
              <w:jc w:val="center"/>
            </w:pPr>
            <w:r w:rsidRPr="00081F29">
              <w:t>Section</w:t>
            </w:r>
          </w:p>
        </w:tc>
        <w:tc>
          <w:tcPr>
            <w:tcW w:w="1980" w:type="dxa"/>
            <w:vAlign w:val="center"/>
          </w:tcPr>
          <w:p w14:paraId="32721546" w14:textId="77777777" w:rsidR="00742200" w:rsidRPr="00081F29" w:rsidRDefault="00742200" w:rsidP="00742200">
            <w:pPr>
              <w:jc w:val="center"/>
            </w:pPr>
            <w:r w:rsidRPr="00081F29">
              <w:t>Quarter / Quarter</w:t>
            </w:r>
          </w:p>
        </w:tc>
        <w:tc>
          <w:tcPr>
            <w:tcW w:w="1440" w:type="dxa"/>
            <w:vAlign w:val="center"/>
          </w:tcPr>
          <w:p w14:paraId="32721547" w14:textId="77777777" w:rsidR="00742200" w:rsidRPr="00081F29" w:rsidRDefault="00742200" w:rsidP="00742200">
            <w:pPr>
              <w:jc w:val="center"/>
            </w:pPr>
            <w:r w:rsidRPr="00081F29">
              <w:t>Certificate #</w:t>
            </w:r>
          </w:p>
        </w:tc>
        <w:tc>
          <w:tcPr>
            <w:tcW w:w="2520" w:type="dxa"/>
            <w:vAlign w:val="center"/>
          </w:tcPr>
          <w:p w14:paraId="32721548" w14:textId="77777777" w:rsidR="00742200" w:rsidRPr="00081F29" w:rsidRDefault="00742200" w:rsidP="00742200">
            <w:pPr>
              <w:jc w:val="center"/>
            </w:pPr>
            <w:r w:rsidRPr="00081F29">
              <w:t>Acres of Water Right</w:t>
            </w:r>
          </w:p>
        </w:tc>
      </w:tr>
      <w:tr w:rsidR="00742200" w:rsidRPr="00081F29" w14:paraId="32721550" w14:textId="77777777" w:rsidTr="006A0F6B">
        <w:tc>
          <w:tcPr>
            <w:tcW w:w="1176" w:type="dxa"/>
            <w:vAlign w:val="center"/>
          </w:tcPr>
          <w:p w14:paraId="3272154A" w14:textId="77777777" w:rsidR="00742200" w:rsidRPr="00081F29" w:rsidRDefault="00742200" w:rsidP="00742200">
            <w:pPr>
              <w:jc w:val="center"/>
            </w:pPr>
            <w:r w:rsidRPr="00081F29">
              <w:t>8 S.</w:t>
            </w:r>
          </w:p>
        </w:tc>
        <w:tc>
          <w:tcPr>
            <w:tcW w:w="984" w:type="dxa"/>
            <w:vAlign w:val="center"/>
          </w:tcPr>
          <w:p w14:paraId="3272154B" w14:textId="77777777" w:rsidR="00742200" w:rsidRPr="00081F29" w:rsidRDefault="00742200" w:rsidP="00742200">
            <w:pPr>
              <w:jc w:val="center"/>
            </w:pPr>
            <w:r w:rsidRPr="00081F29">
              <w:t>19 E.</w:t>
            </w:r>
          </w:p>
        </w:tc>
        <w:tc>
          <w:tcPr>
            <w:tcW w:w="1080" w:type="dxa"/>
            <w:vAlign w:val="center"/>
          </w:tcPr>
          <w:p w14:paraId="3272154C" w14:textId="77777777" w:rsidR="00742200" w:rsidRPr="00081F29" w:rsidRDefault="00742200" w:rsidP="00742200">
            <w:pPr>
              <w:jc w:val="center"/>
            </w:pPr>
            <w:r w:rsidRPr="00081F29">
              <w:t>9</w:t>
            </w:r>
          </w:p>
        </w:tc>
        <w:tc>
          <w:tcPr>
            <w:tcW w:w="1980" w:type="dxa"/>
            <w:vAlign w:val="center"/>
          </w:tcPr>
          <w:p w14:paraId="3272154D" w14:textId="77777777" w:rsidR="00742200" w:rsidRPr="00081F29" w:rsidRDefault="00742200" w:rsidP="00742200">
            <w:pPr>
              <w:jc w:val="center"/>
            </w:pPr>
            <w:r w:rsidRPr="00081F29">
              <w:t>SESW</w:t>
            </w:r>
          </w:p>
        </w:tc>
        <w:tc>
          <w:tcPr>
            <w:tcW w:w="1440" w:type="dxa"/>
            <w:vAlign w:val="center"/>
          </w:tcPr>
          <w:p w14:paraId="3272154E" w14:textId="77777777" w:rsidR="00742200" w:rsidRPr="00081F29" w:rsidRDefault="00742200" w:rsidP="00742200">
            <w:pPr>
              <w:jc w:val="center"/>
            </w:pPr>
            <w:r w:rsidRPr="00081F29">
              <w:t>53715*</w:t>
            </w:r>
          </w:p>
        </w:tc>
        <w:tc>
          <w:tcPr>
            <w:tcW w:w="2520" w:type="dxa"/>
            <w:vAlign w:val="center"/>
          </w:tcPr>
          <w:p w14:paraId="3272154F" w14:textId="77777777" w:rsidR="00742200" w:rsidRPr="00081F29" w:rsidRDefault="00742200" w:rsidP="00742200">
            <w:pPr>
              <w:jc w:val="center"/>
            </w:pPr>
            <w:r w:rsidRPr="00081F29">
              <w:t>0.2</w:t>
            </w:r>
          </w:p>
        </w:tc>
      </w:tr>
      <w:tr w:rsidR="00742200" w:rsidRPr="00081F29" w14:paraId="32721557" w14:textId="77777777" w:rsidTr="006A0F6B">
        <w:tc>
          <w:tcPr>
            <w:tcW w:w="1176" w:type="dxa"/>
            <w:vAlign w:val="center"/>
          </w:tcPr>
          <w:p w14:paraId="32721551" w14:textId="77777777" w:rsidR="00742200" w:rsidRPr="00081F29" w:rsidRDefault="00742200" w:rsidP="00742200">
            <w:pPr>
              <w:jc w:val="center"/>
            </w:pPr>
            <w:r w:rsidRPr="00081F29">
              <w:t>8 S.</w:t>
            </w:r>
          </w:p>
        </w:tc>
        <w:tc>
          <w:tcPr>
            <w:tcW w:w="984" w:type="dxa"/>
            <w:vAlign w:val="center"/>
          </w:tcPr>
          <w:p w14:paraId="32721552" w14:textId="77777777" w:rsidR="00742200" w:rsidRPr="00081F29" w:rsidRDefault="00742200" w:rsidP="00742200">
            <w:pPr>
              <w:jc w:val="center"/>
            </w:pPr>
            <w:r w:rsidRPr="00081F29">
              <w:t xml:space="preserve">19 E. </w:t>
            </w:r>
          </w:p>
        </w:tc>
        <w:tc>
          <w:tcPr>
            <w:tcW w:w="1080" w:type="dxa"/>
            <w:vAlign w:val="center"/>
          </w:tcPr>
          <w:p w14:paraId="32721553" w14:textId="77777777" w:rsidR="00742200" w:rsidRPr="00081F29" w:rsidRDefault="00742200" w:rsidP="00742200">
            <w:pPr>
              <w:jc w:val="center"/>
            </w:pPr>
            <w:r w:rsidRPr="00081F29">
              <w:t>9</w:t>
            </w:r>
          </w:p>
        </w:tc>
        <w:tc>
          <w:tcPr>
            <w:tcW w:w="1980" w:type="dxa"/>
            <w:vAlign w:val="center"/>
          </w:tcPr>
          <w:p w14:paraId="32721554" w14:textId="77777777" w:rsidR="00742200" w:rsidRPr="00081F29" w:rsidRDefault="00742200" w:rsidP="00742200">
            <w:pPr>
              <w:jc w:val="center"/>
            </w:pPr>
            <w:r w:rsidRPr="00081F29">
              <w:t>SWNE</w:t>
            </w:r>
          </w:p>
        </w:tc>
        <w:tc>
          <w:tcPr>
            <w:tcW w:w="1440" w:type="dxa"/>
            <w:vAlign w:val="center"/>
          </w:tcPr>
          <w:p w14:paraId="32721555" w14:textId="77777777" w:rsidR="00742200" w:rsidRPr="00081F29" w:rsidRDefault="00742200" w:rsidP="00742200">
            <w:pPr>
              <w:jc w:val="center"/>
            </w:pPr>
            <w:r w:rsidRPr="00081F29">
              <w:t>65824</w:t>
            </w:r>
          </w:p>
        </w:tc>
        <w:tc>
          <w:tcPr>
            <w:tcW w:w="2520" w:type="dxa"/>
            <w:vAlign w:val="center"/>
          </w:tcPr>
          <w:p w14:paraId="32721556" w14:textId="77777777" w:rsidR="00742200" w:rsidRPr="00081F29" w:rsidRDefault="00742200" w:rsidP="00742200">
            <w:pPr>
              <w:jc w:val="center"/>
            </w:pPr>
            <w:r w:rsidRPr="00081F29">
              <w:t>0.1</w:t>
            </w:r>
          </w:p>
        </w:tc>
      </w:tr>
      <w:tr w:rsidR="00742200" w:rsidRPr="00081F29" w14:paraId="3272155E" w14:textId="77777777" w:rsidTr="006A0F6B">
        <w:tc>
          <w:tcPr>
            <w:tcW w:w="1176" w:type="dxa"/>
            <w:vAlign w:val="center"/>
          </w:tcPr>
          <w:p w14:paraId="32721558" w14:textId="77777777" w:rsidR="00742200" w:rsidRPr="00081F29" w:rsidRDefault="00742200" w:rsidP="00742200">
            <w:pPr>
              <w:jc w:val="center"/>
            </w:pPr>
            <w:r w:rsidRPr="00081F29">
              <w:t>8 S.</w:t>
            </w:r>
          </w:p>
        </w:tc>
        <w:tc>
          <w:tcPr>
            <w:tcW w:w="984" w:type="dxa"/>
            <w:vAlign w:val="center"/>
          </w:tcPr>
          <w:p w14:paraId="32721559" w14:textId="77777777" w:rsidR="00742200" w:rsidRPr="00081F29" w:rsidRDefault="00742200" w:rsidP="00742200">
            <w:pPr>
              <w:jc w:val="center"/>
            </w:pPr>
            <w:r w:rsidRPr="00081F29">
              <w:t>19 E.</w:t>
            </w:r>
          </w:p>
        </w:tc>
        <w:tc>
          <w:tcPr>
            <w:tcW w:w="1080" w:type="dxa"/>
            <w:vAlign w:val="center"/>
          </w:tcPr>
          <w:p w14:paraId="3272155A" w14:textId="77777777" w:rsidR="00742200" w:rsidRPr="00081F29" w:rsidRDefault="00742200" w:rsidP="00742200">
            <w:pPr>
              <w:jc w:val="center"/>
            </w:pPr>
            <w:r w:rsidRPr="00081F29">
              <w:t>9</w:t>
            </w:r>
          </w:p>
        </w:tc>
        <w:tc>
          <w:tcPr>
            <w:tcW w:w="1980" w:type="dxa"/>
            <w:vAlign w:val="center"/>
          </w:tcPr>
          <w:p w14:paraId="3272155B" w14:textId="77777777" w:rsidR="00742200" w:rsidRPr="00081F29" w:rsidRDefault="00742200" w:rsidP="00742200">
            <w:pPr>
              <w:jc w:val="center"/>
            </w:pPr>
            <w:r w:rsidRPr="00081F29">
              <w:t>SENE</w:t>
            </w:r>
          </w:p>
        </w:tc>
        <w:tc>
          <w:tcPr>
            <w:tcW w:w="1440" w:type="dxa"/>
            <w:vAlign w:val="center"/>
          </w:tcPr>
          <w:p w14:paraId="3272155C" w14:textId="77777777" w:rsidR="00742200" w:rsidRPr="00081F29" w:rsidRDefault="00742200" w:rsidP="00742200">
            <w:pPr>
              <w:jc w:val="center"/>
            </w:pPr>
            <w:r w:rsidRPr="00081F29">
              <w:t>65824</w:t>
            </w:r>
          </w:p>
        </w:tc>
        <w:tc>
          <w:tcPr>
            <w:tcW w:w="2520" w:type="dxa"/>
            <w:vAlign w:val="center"/>
          </w:tcPr>
          <w:p w14:paraId="3272155D" w14:textId="77777777" w:rsidR="00742200" w:rsidRPr="00081F29" w:rsidRDefault="00742200" w:rsidP="00742200">
            <w:pPr>
              <w:jc w:val="center"/>
            </w:pPr>
            <w:r w:rsidRPr="00081F29">
              <w:t>1.7</w:t>
            </w:r>
          </w:p>
        </w:tc>
      </w:tr>
      <w:tr w:rsidR="00742200" w:rsidRPr="00081F29" w14:paraId="32721565" w14:textId="77777777" w:rsidTr="006A0F6B">
        <w:tc>
          <w:tcPr>
            <w:tcW w:w="1176" w:type="dxa"/>
            <w:vAlign w:val="center"/>
          </w:tcPr>
          <w:p w14:paraId="3272155F" w14:textId="77777777" w:rsidR="00742200" w:rsidRPr="00081F29" w:rsidRDefault="00742200" w:rsidP="00742200">
            <w:pPr>
              <w:jc w:val="center"/>
            </w:pPr>
            <w:r w:rsidRPr="00081F29">
              <w:t>8 S.</w:t>
            </w:r>
          </w:p>
        </w:tc>
        <w:tc>
          <w:tcPr>
            <w:tcW w:w="984" w:type="dxa"/>
            <w:vAlign w:val="center"/>
          </w:tcPr>
          <w:p w14:paraId="32721560" w14:textId="77777777" w:rsidR="00742200" w:rsidRPr="00081F29" w:rsidRDefault="00742200" w:rsidP="00742200">
            <w:pPr>
              <w:jc w:val="center"/>
            </w:pPr>
            <w:r w:rsidRPr="00081F29">
              <w:t>19 E.</w:t>
            </w:r>
          </w:p>
        </w:tc>
        <w:tc>
          <w:tcPr>
            <w:tcW w:w="1080" w:type="dxa"/>
            <w:vAlign w:val="center"/>
          </w:tcPr>
          <w:p w14:paraId="32721561" w14:textId="77777777" w:rsidR="00742200" w:rsidRPr="00081F29" w:rsidRDefault="00742200" w:rsidP="00742200">
            <w:pPr>
              <w:jc w:val="center"/>
            </w:pPr>
            <w:r w:rsidRPr="00081F29">
              <w:t>4</w:t>
            </w:r>
          </w:p>
        </w:tc>
        <w:tc>
          <w:tcPr>
            <w:tcW w:w="1980" w:type="dxa"/>
            <w:vAlign w:val="center"/>
          </w:tcPr>
          <w:p w14:paraId="32721562" w14:textId="77777777" w:rsidR="00742200" w:rsidRPr="00081F29" w:rsidRDefault="00742200" w:rsidP="00742200">
            <w:pPr>
              <w:jc w:val="center"/>
            </w:pPr>
            <w:r w:rsidRPr="00081F29">
              <w:t>NWSE</w:t>
            </w:r>
          </w:p>
        </w:tc>
        <w:tc>
          <w:tcPr>
            <w:tcW w:w="1440" w:type="dxa"/>
            <w:vAlign w:val="center"/>
          </w:tcPr>
          <w:p w14:paraId="32721563" w14:textId="77777777" w:rsidR="00742200" w:rsidRPr="00081F29" w:rsidRDefault="00742200" w:rsidP="00742200">
            <w:pPr>
              <w:jc w:val="center"/>
            </w:pPr>
            <w:r w:rsidRPr="00081F29">
              <w:t>83272</w:t>
            </w:r>
          </w:p>
        </w:tc>
        <w:tc>
          <w:tcPr>
            <w:tcW w:w="2520" w:type="dxa"/>
            <w:vAlign w:val="center"/>
          </w:tcPr>
          <w:p w14:paraId="32721564" w14:textId="77777777" w:rsidR="00742200" w:rsidRPr="00081F29" w:rsidRDefault="00742200" w:rsidP="00742200">
            <w:pPr>
              <w:jc w:val="center"/>
            </w:pPr>
            <w:r w:rsidRPr="00081F29">
              <w:t>0.5</w:t>
            </w:r>
          </w:p>
        </w:tc>
      </w:tr>
      <w:tr w:rsidR="00742200" w:rsidRPr="00081F29" w14:paraId="3272156C" w14:textId="77777777" w:rsidTr="006A0F6B">
        <w:tc>
          <w:tcPr>
            <w:tcW w:w="1176" w:type="dxa"/>
            <w:vAlign w:val="center"/>
          </w:tcPr>
          <w:p w14:paraId="32721566" w14:textId="77777777" w:rsidR="00742200" w:rsidRPr="00081F29" w:rsidRDefault="00742200" w:rsidP="00742200">
            <w:pPr>
              <w:jc w:val="center"/>
            </w:pPr>
            <w:r w:rsidRPr="00081F29">
              <w:t>8 S.</w:t>
            </w:r>
          </w:p>
        </w:tc>
        <w:tc>
          <w:tcPr>
            <w:tcW w:w="984" w:type="dxa"/>
            <w:vAlign w:val="center"/>
          </w:tcPr>
          <w:p w14:paraId="32721567" w14:textId="77777777" w:rsidR="00742200" w:rsidRPr="00081F29" w:rsidRDefault="00742200" w:rsidP="00742200">
            <w:pPr>
              <w:jc w:val="center"/>
            </w:pPr>
            <w:r w:rsidRPr="00081F29">
              <w:t>19 E.</w:t>
            </w:r>
          </w:p>
        </w:tc>
        <w:tc>
          <w:tcPr>
            <w:tcW w:w="1080" w:type="dxa"/>
            <w:vAlign w:val="center"/>
          </w:tcPr>
          <w:p w14:paraId="32721568" w14:textId="77777777" w:rsidR="00742200" w:rsidRPr="00081F29" w:rsidRDefault="00742200" w:rsidP="00742200">
            <w:pPr>
              <w:jc w:val="center"/>
            </w:pPr>
            <w:r w:rsidRPr="00081F29">
              <w:t>4</w:t>
            </w:r>
          </w:p>
        </w:tc>
        <w:tc>
          <w:tcPr>
            <w:tcW w:w="1980" w:type="dxa"/>
            <w:vAlign w:val="center"/>
          </w:tcPr>
          <w:p w14:paraId="32721569" w14:textId="77777777" w:rsidR="00742200" w:rsidRPr="00081F29" w:rsidRDefault="00742200" w:rsidP="00742200">
            <w:pPr>
              <w:jc w:val="center"/>
            </w:pPr>
            <w:r w:rsidRPr="00081F29">
              <w:t>NWSE</w:t>
            </w:r>
          </w:p>
        </w:tc>
        <w:tc>
          <w:tcPr>
            <w:tcW w:w="1440" w:type="dxa"/>
            <w:vAlign w:val="center"/>
          </w:tcPr>
          <w:p w14:paraId="3272156A" w14:textId="77777777" w:rsidR="00742200" w:rsidRPr="00081F29" w:rsidRDefault="00742200" w:rsidP="00742200">
            <w:pPr>
              <w:jc w:val="center"/>
            </w:pPr>
            <w:r w:rsidRPr="00081F29">
              <w:t>83294</w:t>
            </w:r>
          </w:p>
        </w:tc>
        <w:tc>
          <w:tcPr>
            <w:tcW w:w="2520" w:type="dxa"/>
            <w:vAlign w:val="center"/>
          </w:tcPr>
          <w:p w14:paraId="3272156B" w14:textId="77777777" w:rsidR="00742200" w:rsidRPr="00081F29" w:rsidRDefault="00742200" w:rsidP="00742200">
            <w:pPr>
              <w:jc w:val="center"/>
            </w:pPr>
            <w:r w:rsidRPr="00081F29">
              <w:t>12.2</w:t>
            </w:r>
          </w:p>
        </w:tc>
      </w:tr>
      <w:tr w:rsidR="00742200" w:rsidRPr="00081F29" w14:paraId="32721573" w14:textId="77777777" w:rsidTr="006A0F6B">
        <w:tc>
          <w:tcPr>
            <w:tcW w:w="1176" w:type="dxa"/>
            <w:vAlign w:val="center"/>
          </w:tcPr>
          <w:p w14:paraId="3272156D" w14:textId="77777777" w:rsidR="00742200" w:rsidRPr="00081F29" w:rsidRDefault="00742200" w:rsidP="00742200">
            <w:pPr>
              <w:jc w:val="center"/>
            </w:pPr>
            <w:r w:rsidRPr="00081F29">
              <w:t xml:space="preserve">8 S. </w:t>
            </w:r>
          </w:p>
        </w:tc>
        <w:tc>
          <w:tcPr>
            <w:tcW w:w="984" w:type="dxa"/>
            <w:vAlign w:val="center"/>
          </w:tcPr>
          <w:p w14:paraId="3272156E" w14:textId="77777777" w:rsidR="00742200" w:rsidRPr="00081F29" w:rsidRDefault="00742200" w:rsidP="00742200">
            <w:pPr>
              <w:jc w:val="center"/>
            </w:pPr>
            <w:r w:rsidRPr="00081F29">
              <w:t>19 E</w:t>
            </w:r>
          </w:p>
        </w:tc>
        <w:tc>
          <w:tcPr>
            <w:tcW w:w="1080" w:type="dxa"/>
            <w:vAlign w:val="center"/>
          </w:tcPr>
          <w:p w14:paraId="3272156F" w14:textId="77777777" w:rsidR="00742200" w:rsidRPr="00081F29" w:rsidRDefault="00742200" w:rsidP="00742200">
            <w:pPr>
              <w:jc w:val="center"/>
            </w:pPr>
            <w:r w:rsidRPr="00081F29">
              <w:t>4</w:t>
            </w:r>
          </w:p>
        </w:tc>
        <w:tc>
          <w:tcPr>
            <w:tcW w:w="1980" w:type="dxa"/>
            <w:vAlign w:val="center"/>
          </w:tcPr>
          <w:p w14:paraId="32721570" w14:textId="77777777" w:rsidR="00742200" w:rsidRPr="00081F29" w:rsidRDefault="00742200" w:rsidP="00742200">
            <w:pPr>
              <w:jc w:val="center"/>
            </w:pPr>
            <w:r w:rsidRPr="00081F29">
              <w:t>NESE</w:t>
            </w:r>
          </w:p>
        </w:tc>
        <w:tc>
          <w:tcPr>
            <w:tcW w:w="1440" w:type="dxa"/>
            <w:vAlign w:val="center"/>
          </w:tcPr>
          <w:p w14:paraId="32721571" w14:textId="77777777" w:rsidR="00742200" w:rsidRPr="00081F29" w:rsidRDefault="00742200" w:rsidP="00742200">
            <w:pPr>
              <w:jc w:val="center"/>
            </w:pPr>
            <w:r w:rsidRPr="00081F29">
              <w:t>83294</w:t>
            </w:r>
          </w:p>
        </w:tc>
        <w:tc>
          <w:tcPr>
            <w:tcW w:w="2520" w:type="dxa"/>
            <w:vAlign w:val="center"/>
          </w:tcPr>
          <w:p w14:paraId="32721572" w14:textId="77777777" w:rsidR="00742200" w:rsidRPr="00081F29" w:rsidRDefault="00742200" w:rsidP="00742200">
            <w:pPr>
              <w:jc w:val="center"/>
            </w:pPr>
            <w:r w:rsidRPr="00081F29">
              <w:t>1.0</w:t>
            </w:r>
          </w:p>
        </w:tc>
      </w:tr>
    </w:tbl>
    <w:p w14:paraId="32721574" w14:textId="77777777" w:rsidR="00742200" w:rsidRPr="00081F29" w:rsidRDefault="00742200" w:rsidP="00D82F5E">
      <w:pPr>
        <w:ind w:left="360"/>
      </w:pPr>
      <w:r w:rsidRPr="00081F29">
        <w:t>*Point of Diversion</w:t>
      </w:r>
    </w:p>
    <w:p w14:paraId="3E792F04" w14:textId="77777777" w:rsidR="003952B3" w:rsidRDefault="003952B3" w:rsidP="00A932AC">
      <w:pPr>
        <w:pStyle w:val="NoSpacing"/>
        <w:rPr>
          <w:rFonts w:ascii="Times New Roman" w:hAnsi="Times New Roman"/>
          <w:sz w:val="24"/>
          <w:szCs w:val="24"/>
        </w:rPr>
      </w:pPr>
    </w:p>
    <w:p w14:paraId="715E48F6" w14:textId="4C3AB062" w:rsidR="003952B3" w:rsidRPr="0038592A" w:rsidRDefault="003952B3" w:rsidP="003952B3">
      <w:pPr>
        <w:rPr>
          <w:rFonts w:eastAsia="Calibri"/>
          <w:color w:val="000000"/>
        </w:rPr>
      </w:pPr>
      <w:r w:rsidRPr="0038592A">
        <w:rPr>
          <w:rFonts w:eastAsia="Calibri"/>
        </w:rPr>
        <w:t xml:space="preserve">The Federal land </w:t>
      </w:r>
      <w:proofErr w:type="gramStart"/>
      <w:r w:rsidRPr="0038592A">
        <w:rPr>
          <w:rFonts w:eastAsia="Calibri"/>
        </w:rPr>
        <w:t>would be conveyed</w:t>
      </w:r>
      <w:proofErr w:type="gramEnd"/>
      <w:r w:rsidRPr="0038592A">
        <w:rPr>
          <w:rFonts w:eastAsia="Calibri"/>
        </w:rPr>
        <w:t xml:space="preserve"> subject to a reservation of ditches and canals pursuant </w:t>
      </w:r>
      <w:r w:rsidRPr="00971FCD">
        <w:rPr>
          <w:rFonts w:eastAsia="Calibri"/>
        </w:rPr>
        <w:t xml:space="preserve">to </w:t>
      </w:r>
      <w:r w:rsidR="006447C1">
        <w:rPr>
          <w:rFonts w:eastAsia="Calibri"/>
        </w:rPr>
        <w:t>the Act</w:t>
      </w:r>
      <w:r w:rsidRPr="00971FCD">
        <w:rPr>
          <w:rFonts w:eastAsia="Calibri"/>
        </w:rPr>
        <w:t xml:space="preserve"> of August 30, 1890</w:t>
      </w:r>
      <w:r w:rsidR="006A0F6B">
        <w:rPr>
          <w:rFonts w:eastAsia="Calibri"/>
        </w:rPr>
        <w:t>,</w:t>
      </w:r>
      <w:r w:rsidRPr="0038592A">
        <w:rPr>
          <w:rFonts w:eastAsia="Calibri"/>
        </w:rPr>
        <w:t xml:space="preserve"> (43 U.S.C. 945) and </w:t>
      </w:r>
      <w:r>
        <w:rPr>
          <w:rFonts w:eastAsia="Calibri"/>
        </w:rPr>
        <w:t xml:space="preserve">a </w:t>
      </w:r>
      <w:r w:rsidRPr="0038592A">
        <w:rPr>
          <w:rFonts w:eastAsia="Calibri"/>
          <w:color w:val="000000"/>
        </w:rPr>
        <w:t>right-of-way for</w:t>
      </w:r>
      <w:r>
        <w:rPr>
          <w:rFonts w:eastAsia="Calibri"/>
          <w:color w:val="000000"/>
        </w:rPr>
        <w:t xml:space="preserve"> an irrigation canal pursuant to the Act of March 3, 1891, (26 Stat. 1101) serialized OR-015772.</w:t>
      </w:r>
    </w:p>
    <w:p w14:paraId="3272157A" w14:textId="77777777" w:rsidR="003E5BBC" w:rsidRPr="003952B3" w:rsidRDefault="003E5BBC" w:rsidP="003952B3">
      <w:pPr>
        <w:rPr>
          <w:color w:val="000000"/>
        </w:rPr>
      </w:pPr>
    </w:p>
    <w:p w14:paraId="3272157C" w14:textId="377429E7" w:rsidR="00C63A6C" w:rsidRDefault="00C265C5" w:rsidP="00A932AC">
      <w:pPr>
        <w:pStyle w:val="ListParagraph"/>
        <w:ind w:left="0"/>
      </w:pPr>
      <w:r>
        <w:t>The Federal lands</w:t>
      </w:r>
      <w:r w:rsidR="00AD6D98">
        <w:t xml:space="preserve"> are</w:t>
      </w:r>
      <w:r>
        <w:t xml:space="preserve"> include</w:t>
      </w:r>
      <w:r w:rsidR="00AD6D98">
        <w:t>d in the Spud grazing allotment</w:t>
      </w:r>
      <w:r w:rsidR="00EE641D">
        <w:t xml:space="preserve"> </w:t>
      </w:r>
      <w:r w:rsidR="00EE641D" w:rsidRPr="00AD6D98">
        <w:t>(#2588)</w:t>
      </w:r>
      <w:r w:rsidR="00AD6D98">
        <w:t xml:space="preserve">.  </w:t>
      </w:r>
      <w:r w:rsidR="006979E2">
        <w:t xml:space="preserve">Hugh </w:t>
      </w:r>
      <w:r w:rsidR="00AD6D98" w:rsidRPr="00AD6D98">
        <w:t xml:space="preserve">Kelly </w:t>
      </w:r>
      <w:proofErr w:type="spellStart"/>
      <w:r w:rsidR="00AD6D98" w:rsidRPr="00AD6D98">
        <w:t>McGreer</w:t>
      </w:r>
      <w:proofErr w:type="spellEnd"/>
      <w:r w:rsidR="00AD6D98" w:rsidRPr="00AD6D98">
        <w:t xml:space="preserve"> is the holder of a grazing lease for th</w:t>
      </w:r>
      <w:r w:rsidR="00EE641D">
        <w:t>is a</w:t>
      </w:r>
      <w:r w:rsidR="00AD6D98" w:rsidRPr="00AD6D98">
        <w:t>llotment</w:t>
      </w:r>
      <w:r w:rsidR="00EE3AB1">
        <w:t xml:space="preserve"> </w:t>
      </w:r>
      <w:r w:rsidR="00EE641D">
        <w:t>contain</w:t>
      </w:r>
      <w:r w:rsidR="00EE3AB1">
        <w:t>ing</w:t>
      </w:r>
      <w:r w:rsidR="00AD6D98" w:rsidRPr="00AD6D98">
        <w:t xml:space="preserve"> approximately 608 acres</w:t>
      </w:r>
      <w:r w:rsidR="00EE3AB1">
        <w:t xml:space="preserve"> and </w:t>
      </w:r>
      <w:r w:rsidR="00AD6D98" w:rsidRPr="00AD6D98">
        <w:t>supporti</w:t>
      </w:r>
      <w:r w:rsidR="00EE641D">
        <w:t>ng 40 AUMs</w:t>
      </w:r>
      <w:r w:rsidR="00AD6D98" w:rsidRPr="00AD6D98">
        <w:t xml:space="preserve">.  </w:t>
      </w:r>
      <w:r w:rsidR="00EE3AB1">
        <w:t>T</w:t>
      </w:r>
      <w:r w:rsidR="00AD6D98" w:rsidRPr="00AD6D98">
        <w:t>he exchange</w:t>
      </w:r>
      <w:r w:rsidR="00EE3AB1">
        <w:t xml:space="preserve"> would decrease</w:t>
      </w:r>
      <w:r w:rsidR="00AD6D98" w:rsidRPr="00AD6D98">
        <w:t xml:space="preserve"> the Federal land in this allotment by 344.31 acres with a reduction in the grazing preference by 15 AUMs.  A total of 264 acres supporting 25 AUMs would remain in this allotment following the exchange.</w:t>
      </w:r>
    </w:p>
    <w:p w14:paraId="3E40603E" w14:textId="77777777" w:rsidR="003952B3" w:rsidRDefault="003952B3" w:rsidP="00A932AC">
      <w:pPr>
        <w:pStyle w:val="ListParagraph"/>
        <w:ind w:left="0"/>
      </w:pPr>
    </w:p>
    <w:p w14:paraId="46B90B7B" w14:textId="740C9A84" w:rsidR="003952B3" w:rsidRPr="00742200" w:rsidRDefault="003952B3" w:rsidP="003952B3">
      <w:pPr>
        <w:spacing w:line="240" w:lineRule="atLeast"/>
        <w:rPr>
          <w:color w:val="000000"/>
        </w:rPr>
      </w:pPr>
      <w:r w:rsidRPr="00247AC5">
        <w:t xml:space="preserve">A formal notification of the exchange proposal </w:t>
      </w:r>
      <w:r>
        <w:t xml:space="preserve">was </w:t>
      </w:r>
      <w:r w:rsidRPr="00247AC5">
        <w:t>sent to the operator</w:t>
      </w:r>
      <w:r>
        <w:t xml:space="preserve">, Hugh Kelly </w:t>
      </w:r>
      <w:proofErr w:type="spellStart"/>
      <w:r>
        <w:t>McGreer</w:t>
      </w:r>
      <w:proofErr w:type="spellEnd"/>
      <w:r>
        <w:t>,</w:t>
      </w:r>
      <w:r w:rsidRPr="00247AC5">
        <w:t xml:space="preserve"> </w:t>
      </w:r>
      <w:r>
        <w:t xml:space="preserve">who </w:t>
      </w:r>
      <w:r w:rsidRPr="00247AC5">
        <w:t>sign</w:t>
      </w:r>
      <w:r>
        <w:t>ed</w:t>
      </w:r>
      <w:r w:rsidRPr="00247AC5">
        <w:t xml:space="preserve"> a</w:t>
      </w:r>
      <w:r>
        <w:t>nd returned a</w:t>
      </w:r>
      <w:r w:rsidRPr="00247AC5">
        <w:t xml:space="preserve"> Grazing Cancellation Waiver </w:t>
      </w:r>
      <w:r>
        <w:t>dated July 1, 2013</w:t>
      </w:r>
      <w:r w:rsidR="00914C83">
        <w:t>,</w:t>
      </w:r>
      <w:r>
        <w:t xml:space="preserve">  unconditionally waiving</w:t>
      </w:r>
      <w:r w:rsidRPr="00247AC5">
        <w:t xml:space="preserve"> </w:t>
      </w:r>
      <w:r>
        <w:t>his</w:t>
      </w:r>
      <w:r w:rsidRPr="00247AC5">
        <w:t xml:space="preserve"> right to a 2-year notice in accordance with 43 CFR </w:t>
      </w:r>
      <w:r>
        <w:t xml:space="preserve">4110.4-2(b). </w:t>
      </w:r>
      <w:r w:rsidRPr="00247AC5">
        <w:t xml:space="preserve"> Federal regulations require that a </w:t>
      </w:r>
      <w:r w:rsidR="00F70510">
        <w:t>2</w:t>
      </w:r>
      <w:r>
        <w:t>-</w:t>
      </w:r>
      <w:r w:rsidRPr="00247AC5">
        <w:t xml:space="preserve">year notification </w:t>
      </w:r>
      <w:proofErr w:type="gramStart"/>
      <w:r w:rsidRPr="00247AC5">
        <w:t>be given</w:t>
      </w:r>
      <w:proofErr w:type="gramEnd"/>
      <w:r w:rsidRPr="00247AC5">
        <w:t xml:space="preserve"> to the operator prior to cancelling or adjusting grazing privileges.  </w:t>
      </w:r>
    </w:p>
    <w:p w14:paraId="68242902" w14:textId="77777777" w:rsidR="00734C2F" w:rsidRPr="00746AEC" w:rsidRDefault="00734C2F" w:rsidP="00746AEC">
      <w:pPr>
        <w:spacing w:line="240" w:lineRule="atLeast"/>
        <w:rPr>
          <w:color w:val="000000"/>
        </w:rPr>
      </w:pPr>
    </w:p>
    <w:p w14:paraId="3272157E" w14:textId="77777777" w:rsidR="00751C23" w:rsidRPr="006052A1" w:rsidRDefault="00F67982" w:rsidP="003E5D7E">
      <w:pPr>
        <w:pStyle w:val="Style"/>
        <w:ind w:left="14" w:right="10"/>
        <w:rPr>
          <w:b/>
        </w:rPr>
      </w:pPr>
      <w:r w:rsidRPr="006052A1">
        <w:rPr>
          <w:b/>
        </w:rPr>
        <w:t>7</w:t>
      </w:r>
      <w:r w:rsidR="00E6227E" w:rsidRPr="006052A1">
        <w:rPr>
          <w:b/>
        </w:rPr>
        <w:t>.2</w:t>
      </w:r>
      <w:r w:rsidR="00E6227E" w:rsidRPr="006052A1">
        <w:rPr>
          <w:b/>
        </w:rPr>
        <w:tab/>
      </w:r>
      <w:r w:rsidR="00751C23" w:rsidRPr="006052A1">
        <w:rPr>
          <w:b/>
        </w:rPr>
        <w:t>Non</w:t>
      </w:r>
      <w:r w:rsidR="005B57DD" w:rsidRPr="006052A1">
        <w:rPr>
          <w:b/>
        </w:rPr>
        <w:t>-F</w:t>
      </w:r>
      <w:r w:rsidR="00713AB3" w:rsidRPr="006052A1">
        <w:rPr>
          <w:b/>
        </w:rPr>
        <w:t>ederal Lands</w:t>
      </w:r>
    </w:p>
    <w:p w14:paraId="3272157F" w14:textId="77777777" w:rsidR="00164CC4" w:rsidRDefault="00164CC4" w:rsidP="003E5D7E">
      <w:pPr>
        <w:pStyle w:val="Style"/>
        <w:ind w:left="14" w:right="10"/>
        <w:rPr>
          <w:u w:val="single"/>
        </w:rPr>
      </w:pPr>
    </w:p>
    <w:p w14:paraId="32721580" w14:textId="07879E0A" w:rsidR="00164CC4" w:rsidRPr="00BA2C5C" w:rsidRDefault="00164CC4" w:rsidP="00164CC4">
      <w:pPr>
        <w:pStyle w:val="CommentText"/>
        <w:rPr>
          <w:sz w:val="24"/>
          <w:szCs w:val="24"/>
        </w:rPr>
      </w:pPr>
      <w:r w:rsidRPr="00BA2C5C">
        <w:rPr>
          <w:sz w:val="24"/>
          <w:szCs w:val="24"/>
        </w:rPr>
        <w:t>The non-</w:t>
      </w:r>
      <w:r w:rsidR="00D82F5E">
        <w:rPr>
          <w:sz w:val="24"/>
          <w:szCs w:val="24"/>
        </w:rPr>
        <w:t>F</w:t>
      </w:r>
      <w:r w:rsidRPr="00BA2C5C">
        <w:rPr>
          <w:sz w:val="24"/>
          <w:szCs w:val="24"/>
        </w:rPr>
        <w:t xml:space="preserve">ederal lands </w:t>
      </w:r>
      <w:r w:rsidR="001655BB">
        <w:rPr>
          <w:sz w:val="24"/>
          <w:szCs w:val="24"/>
        </w:rPr>
        <w:t xml:space="preserve">are </w:t>
      </w:r>
      <w:r w:rsidR="00EE3AB1">
        <w:rPr>
          <w:sz w:val="24"/>
          <w:szCs w:val="24"/>
        </w:rPr>
        <w:t>with</w:t>
      </w:r>
      <w:r w:rsidR="0029172B">
        <w:rPr>
          <w:sz w:val="24"/>
          <w:szCs w:val="24"/>
        </w:rPr>
        <w:t xml:space="preserve">in a State Scenic </w:t>
      </w:r>
      <w:r w:rsidR="00F70510">
        <w:rPr>
          <w:sz w:val="24"/>
          <w:szCs w:val="24"/>
        </w:rPr>
        <w:t>W</w:t>
      </w:r>
      <w:r w:rsidR="0029172B">
        <w:rPr>
          <w:sz w:val="24"/>
          <w:szCs w:val="24"/>
        </w:rPr>
        <w:t xml:space="preserve">aterway and </w:t>
      </w:r>
      <w:r w:rsidRPr="00BA2C5C">
        <w:rPr>
          <w:sz w:val="24"/>
          <w:szCs w:val="24"/>
        </w:rPr>
        <w:t>subject to the provisions of the Oregon Scenic Waterways Act, Oregon Revised Statutes 390.805 to 390.940.  Th</w:t>
      </w:r>
      <w:r w:rsidR="00914C83">
        <w:rPr>
          <w:sz w:val="24"/>
          <w:szCs w:val="24"/>
        </w:rPr>
        <w:t>e</w:t>
      </w:r>
      <w:r w:rsidRPr="00BA2C5C">
        <w:rPr>
          <w:sz w:val="24"/>
          <w:szCs w:val="24"/>
        </w:rPr>
        <w:t xml:space="preserve"> </w:t>
      </w:r>
      <w:r w:rsidR="00EE3AB1" w:rsidRPr="00EE3AB1">
        <w:rPr>
          <w:sz w:val="24"/>
          <w:szCs w:val="24"/>
        </w:rPr>
        <w:t xml:space="preserve">Oregon Parks and Recreation Department </w:t>
      </w:r>
      <w:r w:rsidRPr="00BA2C5C">
        <w:rPr>
          <w:sz w:val="24"/>
          <w:szCs w:val="24"/>
        </w:rPr>
        <w:t>administer</w:t>
      </w:r>
      <w:r w:rsidR="00EE3AB1">
        <w:rPr>
          <w:sz w:val="24"/>
          <w:szCs w:val="24"/>
        </w:rPr>
        <w:t>s</w:t>
      </w:r>
      <w:r w:rsidR="00D57185">
        <w:rPr>
          <w:sz w:val="24"/>
          <w:szCs w:val="24"/>
        </w:rPr>
        <w:t xml:space="preserve"> </w:t>
      </w:r>
      <w:r w:rsidR="00817A29">
        <w:rPr>
          <w:sz w:val="24"/>
          <w:szCs w:val="24"/>
        </w:rPr>
        <w:t>this law.</w:t>
      </w:r>
      <w:r w:rsidR="00EE3AB1">
        <w:rPr>
          <w:sz w:val="24"/>
          <w:szCs w:val="24"/>
        </w:rPr>
        <w:t xml:space="preserve">  Landowners must</w:t>
      </w:r>
      <w:r w:rsidR="008E301C">
        <w:rPr>
          <w:sz w:val="24"/>
          <w:szCs w:val="24"/>
        </w:rPr>
        <w:t xml:space="preserve"> </w:t>
      </w:r>
      <w:r w:rsidRPr="00BA2C5C">
        <w:rPr>
          <w:sz w:val="24"/>
          <w:szCs w:val="24"/>
        </w:rPr>
        <w:t>notif</w:t>
      </w:r>
      <w:r w:rsidR="00EE3AB1">
        <w:rPr>
          <w:sz w:val="24"/>
          <w:szCs w:val="24"/>
        </w:rPr>
        <w:t xml:space="preserve">y the </w:t>
      </w:r>
      <w:r w:rsidR="006B6A86">
        <w:rPr>
          <w:sz w:val="24"/>
          <w:szCs w:val="24"/>
        </w:rPr>
        <w:t>S</w:t>
      </w:r>
      <w:r w:rsidR="00EE3AB1">
        <w:rPr>
          <w:sz w:val="24"/>
          <w:szCs w:val="24"/>
        </w:rPr>
        <w:t xml:space="preserve">tate </w:t>
      </w:r>
      <w:r w:rsidRPr="00BA2C5C">
        <w:rPr>
          <w:sz w:val="24"/>
          <w:szCs w:val="24"/>
        </w:rPr>
        <w:t xml:space="preserve">of certain activities proposed within </w:t>
      </w:r>
      <w:r w:rsidR="00914C83">
        <w:rPr>
          <w:sz w:val="24"/>
          <w:szCs w:val="24"/>
        </w:rPr>
        <w:t>one quarter of a</w:t>
      </w:r>
      <w:r w:rsidRPr="00BA2C5C">
        <w:rPr>
          <w:sz w:val="24"/>
          <w:szCs w:val="24"/>
        </w:rPr>
        <w:t xml:space="preserve"> mile of the bank of </w:t>
      </w:r>
      <w:proofErr w:type="gramStart"/>
      <w:r w:rsidRPr="00BA2C5C">
        <w:rPr>
          <w:sz w:val="24"/>
          <w:szCs w:val="24"/>
        </w:rPr>
        <w:t>Oregon’s</w:t>
      </w:r>
      <w:proofErr w:type="gramEnd"/>
      <w:r w:rsidRPr="00BA2C5C">
        <w:rPr>
          <w:sz w:val="24"/>
          <w:szCs w:val="24"/>
        </w:rPr>
        <w:t xml:space="preserve"> designated scenic waterways. </w:t>
      </w:r>
      <w:r w:rsidR="00EE3AB1">
        <w:rPr>
          <w:sz w:val="24"/>
          <w:szCs w:val="24"/>
        </w:rPr>
        <w:t xml:space="preserve"> </w:t>
      </w:r>
      <w:r w:rsidRPr="00BA2C5C">
        <w:rPr>
          <w:sz w:val="24"/>
          <w:szCs w:val="24"/>
        </w:rPr>
        <w:t xml:space="preserve">Such activities </w:t>
      </w:r>
      <w:proofErr w:type="gramStart"/>
      <w:r w:rsidRPr="00BA2C5C">
        <w:rPr>
          <w:sz w:val="24"/>
          <w:szCs w:val="24"/>
        </w:rPr>
        <w:t>include</w:t>
      </w:r>
      <w:r w:rsidR="00EE3AB1">
        <w:rPr>
          <w:sz w:val="24"/>
          <w:szCs w:val="24"/>
        </w:rPr>
        <w:t>:</w:t>
      </w:r>
      <w:proofErr w:type="gramEnd"/>
      <w:r w:rsidRPr="00BA2C5C">
        <w:rPr>
          <w:sz w:val="24"/>
          <w:szCs w:val="24"/>
        </w:rPr>
        <w:t xml:space="preserve"> </w:t>
      </w:r>
      <w:r w:rsidR="0006354A">
        <w:rPr>
          <w:sz w:val="24"/>
          <w:szCs w:val="24"/>
        </w:rPr>
        <w:t xml:space="preserve"> </w:t>
      </w:r>
      <w:r w:rsidRPr="00BA2C5C">
        <w:rPr>
          <w:sz w:val="24"/>
          <w:szCs w:val="24"/>
        </w:rPr>
        <w:t>cutting of trees</w:t>
      </w:r>
      <w:r w:rsidR="00D82F5E">
        <w:rPr>
          <w:sz w:val="24"/>
          <w:szCs w:val="24"/>
        </w:rPr>
        <w:t>;</w:t>
      </w:r>
      <w:r w:rsidRPr="00BA2C5C">
        <w:rPr>
          <w:sz w:val="24"/>
          <w:szCs w:val="24"/>
        </w:rPr>
        <w:t xml:space="preserve"> mining</w:t>
      </w:r>
      <w:r w:rsidR="00D82F5E">
        <w:rPr>
          <w:sz w:val="24"/>
          <w:szCs w:val="24"/>
        </w:rPr>
        <w:t>;</w:t>
      </w:r>
      <w:r w:rsidRPr="00BA2C5C">
        <w:rPr>
          <w:sz w:val="24"/>
          <w:szCs w:val="24"/>
        </w:rPr>
        <w:t xml:space="preserve"> </w:t>
      </w:r>
      <w:r w:rsidR="00D82F5E">
        <w:rPr>
          <w:sz w:val="24"/>
          <w:szCs w:val="24"/>
        </w:rPr>
        <w:t xml:space="preserve">and </w:t>
      </w:r>
      <w:r w:rsidRPr="00BA2C5C">
        <w:rPr>
          <w:sz w:val="24"/>
          <w:szCs w:val="24"/>
        </w:rPr>
        <w:t xml:space="preserve">construction of roads, </w:t>
      </w:r>
      <w:r w:rsidRPr="00BA2C5C">
        <w:rPr>
          <w:sz w:val="24"/>
          <w:szCs w:val="24"/>
        </w:rPr>
        <w:lastRenderedPageBreak/>
        <w:t>railroads, utilities, buildings, or other structures.</w:t>
      </w:r>
      <w:r w:rsidR="00EE3AB1">
        <w:rPr>
          <w:sz w:val="24"/>
          <w:szCs w:val="24"/>
        </w:rPr>
        <w:t xml:space="preserve"> </w:t>
      </w:r>
      <w:r w:rsidRPr="00BA2C5C">
        <w:rPr>
          <w:sz w:val="24"/>
          <w:szCs w:val="24"/>
        </w:rPr>
        <w:t xml:space="preserve"> The </w:t>
      </w:r>
      <w:r w:rsidR="00EE3AB1">
        <w:rPr>
          <w:sz w:val="24"/>
          <w:szCs w:val="24"/>
        </w:rPr>
        <w:t xml:space="preserve">landowner may implement the </w:t>
      </w:r>
      <w:r w:rsidRPr="00BA2C5C">
        <w:rPr>
          <w:sz w:val="24"/>
          <w:szCs w:val="24"/>
        </w:rPr>
        <w:t xml:space="preserve">proposed uses or activities </w:t>
      </w:r>
      <w:r w:rsidR="00EE3AB1">
        <w:rPr>
          <w:sz w:val="24"/>
          <w:szCs w:val="24"/>
        </w:rPr>
        <w:t xml:space="preserve">upon </w:t>
      </w:r>
      <w:r w:rsidRPr="00BA2C5C">
        <w:rPr>
          <w:sz w:val="24"/>
          <w:szCs w:val="24"/>
        </w:rPr>
        <w:t xml:space="preserve">written notification </w:t>
      </w:r>
      <w:r w:rsidR="00EE3AB1">
        <w:rPr>
          <w:sz w:val="24"/>
          <w:szCs w:val="24"/>
        </w:rPr>
        <w:t>of approval</w:t>
      </w:r>
      <w:r w:rsidR="008E301C">
        <w:rPr>
          <w:sz w:val="24"/>
          <w:szCs w:val="24"/>
        </w:rPr>
        <w:t xml:space="preserve"> or </w:t>
      </w:r>
      <w:r w:rsidR="006B6A86">
        <w:rPr>
          <w:sz w:val="24"/>
          <w:szCs w:val="24"/>
        </w:rPr>
        <w:t>1</w:t>
      </w:r>
      <w:r w:rsidRPr="00BA2C5C">
        <w:rPr>
          <w:sz w:val="24"/>
          <w:szCs w:val="24"/>
        </w:rPr>
        <w:t xml:space="preserve"> year after the notice is accepted.  This </w:t>
      </w:r>
      <w:r w:rsidR="00EE3AB1">
        <w:rPr>
          <w:sz w:val="24"/>
          <w:szCs w:val="24"/>
        </w:rPr>
        <w:t xml:space="preserve">landowner will convey title to the lands subject to this </w:t>
      </w:r>
      <w:r w:rsidRPr="00BA2C5C">
        <w:rPr>
          <w:sz w:val="24"/>
          <w:szCs w:val="24"/>
        </w:rPr>
        <w:t>designation (encumbrance)</w:t>
      </w:r>
      <w:r w:rsidR="00EE3AB1">
        <w:rPr>
          <w:sz w:val="24"/>
          <w:szCs w:val="24"/>
        </w:rPr>
        <w:t>.</w:t>
      </w:r>
      <w:r w:rsidR="008E301C">
        <w:rPr>
          <w:sz w:val="24"/>
          <w:szCs w:val="24"/>
        </w:rPr>
        <w:t xml:space="preserve"> </w:t>
      </w:r>
      <w:r w:rsidR="006B6A86">
        <w:rPr>
          <w:sz w:val="24"/>
          <w:szCs w:val="24"/>
        </w:rPr>
        <w:t xml:space="preserve"> </w:t>
      </w:r>
      <w:r w:rsidR="00EE3AB1">
        <w:rPr>
          <w:sz w:val="24"/>
          <w:szCs w:val="24"/>
        </w:rPr>
        <w:t>P</w:t>
      </w:r>
      <w:r w:rsidRPr="00BA2C5C">
        <w:rPr>
          <w:sz w:val="24"/>
          <w:szCs w:val="24"/>
        </w:rPr>
        <w:t>ost-acquisition management activities by</w:t>
      </w:r>
      <w:r w:rsidR="001655BB">
        <w:rPr>
          <w:sz w:val="24"/>
          <w:szCs w:val="24"/>
        </w:rPr>
        <w:t xml:space="preserve"> the</w:t>
      </w:r>
      <w:r w:rsidRPr="00BA2C5C">
        <w:rPr>
          <w:sz w:val="24"/>
          <w:szCs w:val="24"/>
        </w:rPr>
        <w:t xml:space="preserve"> BLM would be subject to provisions of the </w:t>
      </w:r>
      <w:r w:rsidR="004E6553" w:rsidRPr="00BA2C5C">
        <w:rPr>
          <w:sz w:val="24"/>
          <w:szCs w:val="24"/>
        </w:rPr>
        <w:t xml:space="preserve">Oregon Scenic Waterways </w:t>
      </w:r>
      <w:r w:rsidRPr="00BA2C5C">
        <w:rPr>
          <w:sz w:val="24"/>
          <w:szCs w:val="24"/>
        </w:rPr>
        <w:t xml:space="preserve">Act. </w:t>
      </w:r>
    </w:p>
    <w:p w14:paraId="32721581" w14:textId="77777777" w:rsidR="008055F0" w:rsidRDefault="008055F0" w:rsidP="00F111AC"/>
    <w:p w14:paraId="32721582" w14:textId="44FF012A" w:rsidR="005F0B8A" w:rsidRDefault="00C626E2" w:rsidP="00F111AC">
      <w:r>
        <w:t xml:space="preserve">Hugh Kelly and Rosemary </w:t>
      </w:r>
      <w:proofErr w:type="spellStart"/>
      <w:r w:rsidR="00AD0EB0">
        <w:t>McGreer</w:t>
      </w:r>
      <w:proofErr w:type="spellEnd"/>
      <w:r w:rsidR="00AD0EB0">
        <w:t xml:space="preserve"> </w:t>
      </w:r>
      <w:r w:rsidR="001E58F2">
        <w:t>ha</w:t>
      </w:r>
      <w:r>
        <w:t>ve</w:t>
      </w:r>
      <w:r w:rsidR="00FD04E8">
        <w:t xml:space="preserve"> provided </w:t>
      </w:r>
      <w:r w:rsidR="00AD0EB0">
        <w:t>p</w:t>
      </w:r>
      <w:r w:rsidR="005F0B8A">
        <w:t xml:space="preserve">reliminary </w:t>
      </w:r>
      <w:r w:rsidR="00AD0EB0">
        <w:t>t</w:t>
      </w:r>
      <w:r w:rsidR="005F0B8A">
        <w:t xml:space="preserve">itle </w:t>
      </w:r>
      <w:r w:rsidR="00AD0EB0">
        <w:t>r</w:t>
      </w:r>
      <w:r w:rsidR="005F0B8A">
        <w:t>eport</w:t>
      </w:r>
      <w:r w:rsidR="00AD0EB0">
        <w:t>s</w:t>
      </w:r>
      <w:r w:rsidR="005F0B8A">
        <w:t xml:space="preserve"> </w:t>
      </w:r>
      <w:r w:rsidR="0010709B" w:rsidRPr="0010709B">
        <w:t xml:space="preserve">for the non-Federal lands </w:t>
      </w:r>
      <w:r w:rsidR="008043C9">
        <w:t xml:space="preserve">through </w:t>
      </w:r>
      <w:r w:rsidR="008043C9">
        <w:rPr>
          <w:rFonts w:cstheme="minorHAnsi"/>
          <w:color w:val="000000"/>
        </w:rPr>
        <w:t>Wheeler County Title, Inc.</w:t>
      </w:r>
      <w:r w:rsidR="005F0B8A">
        <w:t xml:space="preserve">  </w:t>
      </w:r>
      <w:r w:rsidR="00352FA1" w:rsidRPr="00C20F09">
        <w:t>Th</w:t>
      </w:r>
      <w:r w:rsidR="00AD0EB0">
        <w:t>ese</w:t>
      </w:r>
      <w:r w:rsidR="00352FA1" w:rsidRPr="00C20F09">
        <w:t xml:space="preserve"> report</w:t>
      </w:r>
      <w:r w:rsidR="00AD0EB0">
        <w:t>s</w:t>
      </w:r>
      <w:r w:rsidR="00352FA1">
        <w:t xml:space="preserve"> show the current record title </w:t>
      </w:r>
      <w:r w:rsidR="00352FA1" w:rsidRPr="00C20F09">
        <w:t>owner</w:t>
      </w:r>
      <w:r w:rsidR="00AD0EB0">
        <w:t>s</w:t>
      </w:r>
      <w:r w:rsidR="00352FA1" w:rsidRPr="00C20F09">
        <w:t xml:space="preserve"> and encumbrances.  </w:t>
      </w:r>
      <w:r w:rsidR="0006354A">
        <w:t>The Preliminary Title Report (PTR) lists and describes e</w:t>
      </w:r>
      <w:r w:rsidR="00075A48">
        <w:t xml:space="preserve">xisting rights-of-way </w:t>
      </w:r>
      <w:r w:rsidR="00FF7957">
        <w:t>includ</w:t>
      </w:r>
      <w:r w:rsidR="003D6CFD">
        <w:t>ing:</w:t>
      </w:r>
      <w:r w:rsidR="00FF7957">
        <w:t xml:space="preserve"> </w:t>
      </w:r>
      <w:r w:rsidR="00914C83">
        <w:t xml:space="preserve"> </w:t>
      </w:r>
      <w:r w:rsidR="00FF7957" w:rsidRPr="00C24FDF">
        <w:rPr>
          <w:rFonts w:cstheme="minorHAnsi"/>
          <w:color w:val="000000"/>
        </w:rPr>
        <w:t>Wheeler County Road #29</w:t>
      </w:r>
      <w:r w:rsidR="00FF7957">
        <w:rPr>
          <w:rFonts w:cstheme="minorHAnsi"/>
          <w:color w:val="000000"/>
        </w:rPr>
        <w:t xml:space="preserve">, known as the </w:t>
      </w:r>
      <w:proofErr w:type="spellStart"/>
      <w:r w:rsidR="00FF7957">
        <w:rPr>
          <w:rFonts w:cstheme="minorHAnsi"/>
          <w:color w:val="000000"/>
        </w:rPr>
        <w:t>Clarno</w:t>
      </w:r>
      <w:proofErr w:type="spellEnd"/>
      <w:r w:rsidR="00FF7957">
        <w:rPr>
          <w:rFonts w:cstheme="minorHAnsi"/>
          <w:color w:val="000000"/>
        </w:rPr>
        <w:t xml:space="preserve"> Road.  </w:t>
      </w:r>
      <w:r w:rsidR="0010709B">
        <w:rPr>
          <w:rFonts w:cstheme="minorHAnsi"/>
          <w:color w:val="000000"/>
        </w:rPr>
        <w:t>The PTR also lists and describes r</w:t>
      </w:r>
      <w:r w:rsidR="00310ED5">
        <w:rPr>
          <w:rFonts w:cstheme="minorHAnsi"/>
          <w:color w:val="000000"/>
        </w:rPr>
        <w:t>ights-of-way for b</w:t>
      </w:r>
      <w:r w:rsidR="00FF7957">
        <w:rPr>
          <w:rFonts w:cstheme="minorHAnsi"/>
          <w:color w:val="000000"/>
        </w:rPr>
        <w:t>oth aerial and buried utility lines</w:t>
      </w:r>
      <w:r>
        <w:rPr>
          <w:rFonts w:cstheme="minorHAnsi"/>
          <w:color w:val="000000"/>
        </w:rPr>
        <w:t xml:space="preserve"> </w:t>
      </w:r>
      <w:r w:rsidR="0010709B">
        <w:rPr>
          <w:rFonts w:cstheme="minorHAnsi"/>
          <w:color w:val="000000"/>
        </w:rPr>
        <w:t xml:space="preserve">granted </w:t>
      </w:r>
      <w:r w:rsidR="00E523AB">
        <w:rPr>
          <w:rFonts w:cstheme="minorHAnsi"/>
          <w:color w:val="000000"/>
        </w:rPr>
        <w:t>to Trans</w:t>
      </w:r>
      <w:r>
        <w:rPr>
          <w:rFonts w:cstheme="minorHAnsi"/>
          <w:color w:val="000000"/>
        </w:rPr>
        <w:t>-</w:t>
      </w:r>
      <w:r w:rsidR="00E523AB">
        <w:rPr>
          <w:rFonts w:cstheme="minorHAnsi"/>
          <w:color w:val="000000"/>
        </w:rPr>
        <w:t>Cascade</w:t>
      </w:r>
      <w:r>
        <w:rPr>
          <w:rFonts w:cstheme="minorHAnsi"/>
          <w:color w:val="000000"/>
        </w:rPr>
        <w:t>s</w:t>
      </w:r>
      <w:r w:rsidR="00E523AB">
        <w:rPr>
          <w:rFonts w:cstheme="minorHAnsi"/>
          <w:color w:val="000000"/>
        </w:rPr>
        <w:t xml:space="preserve"> Telephone</w:t>
      </w:r>
      <w:r>
        <w:rPr>
          <w:rFonts w:cstheme="minorHAnsi"/>
          <w:color w:val="000000"/>
        </w:rPr>
        <w:t xml:space="preserve"> Company </w:t>
      </w:r>
      <w:r w:rsidR="00E523AB">
        <w:rPr>
          <w:rFonts w:cstheme="minorHAnsi"/>
          <w:color w:val="000000"/>
        </w:rPr>
        <w:t>and Wasco Electric Cooperative, Inc.</w:t>
      </w:r>
      <w:r w:rsidR="00075A48" w:rsidRPr="003070C4">
        <w:t xml:space="preserve">  </w:t>
      </w:r>
      <w:r w:rsidR="00075A48" w:rsidRPr="00075A48">
        <w:rPr>
          <w:rStyle w:val="CommentReference"/>
          <w:sz w:val="24"/>
          <w:szCs w:val="24"/>
        </w:rPr>
        <w:t>T</w:t>
      </w:r>
      <w:r w:rsidR="00E523AB">
        <w:rPr>
          <w:rFonts w:cstheme="minorHAnsi"/>
          <w:color w:val="000000"/>
        </w:rPr>
        <w:t>he</w:t>
      </w:r>
      <w:r w:rsidR="0010709B">
        <w:rPr>
          <w:rFonts w:cstheme="minorHAnsi"/>
          <w:color w:val="000000"/>
        </w:rPr>
        <w:t xml:space="preserve"> BLM </w:t>
      </w:r>
      <w:r w:rsidR="00E523AB">
        <w:rPr>
          <w:rFonts w:cstheme="minorHAnsi"/>
          <w:color w:val="000000"/>
        </w:rPr>
        <w:t>granted rights</w:t>
      </w:r>
      <w:r w:rsidR="00AD0EB0">
        <w:rPr>
          <w:rFonts w:cstheme="minorHAnsi"/>
          <w:color w:val="000000"/>
        </w:rPr>
        <w:t>-of-way</w:t>
      </w:r>
      <w:r w:rsidR="00E523AB">
        <w:rPr>
          <w:rFonts w:cstheme="minorHAnsi"/>
          <w:color w:val="000000"/>
        </w:rPr>
        <w:t xml:space="preserve"> </w:t>
      </w:r>
      <w:r w:rsidR="0010709B">
        <w:rPr>
          <w:rFonts w:cstheme="minorHAnsi"/>
          <w:color w:val="000000"/>
        </w:rPr>
        <w:t xml:space="preserve">for these uses </w:t>
      </w:r>
      <w:r w:rsidR="00E523AB">
        <w:rPr>
          <w:rFonts w:cstheme="minorHAnsi"/>
          <w:color w:val="000000"/>
        </w:rPr>
        <w:t>on the adjacent public lands</w:t>
      </w:r>
      <w:r w:rsidR="00FD04E8">
        <w:rPr>
          <w:rFonts w:cstheme="minorHAnsi"/>
          <w:color w:val="000000"/>
        </w:rPr>
        <w:t xml:space="preserve"> as well</w:t>
      </w:r>
      <w:r w:rsidR="00E523AB">
        <w:rPr>
          <w:rFonts w:cstheme="minorHAnsi"/>
          <w:color w:val="000000"/>
        </w:rPr>
        <w:t xml:space="preserve">.  </w:t>
      </w:r>
      <w:r w:rsidR="00381A48">
        <w:t>Acceptable title is</w:t>
      </w:r>
      <w:r w:rsidR="00352FA1" w:rsidRPr="00C20F09">
        <w:t xml:space="preserve"> required in accordance with Department of Justice </w:t>
      </w:r>
      <w:r w:rsidR="001655BB">
        <w:t>T</w:t>
      </w:r>
      <w:r w:rsidR="00352FA1" w:rsidRPr="00C20F09">
        <w:t xml:space="preserve">itle </w:t>
      </w:r>
      <w:r w:rsidR="001655BB">
        <w:t>S</w:t>
      </w:r>
      <w:r w:rsidR="00352FA1" w:rsidRPr="00C20F09">
        <w:t>tandards</w:t>
      </w:r>
      <w:r w:rsidR="00E812D9">
        <w:t xml:space="preserve"> </w:t>
      </w:r>
      <w:r w:rsidR="001655BB">
        <w:t>(</w:t>
      </w:r>
      <w:r w:rsidR="00E812D9">
        <w:t>2001</w:t>
      </w:r>
      <w:r w:rsidR="001655BB">
        <w:t>)</w:t>
      </w:r>
      <w:r w:rsidR="00352FA1" w:rsidRPr="00C20F09">
        <w:t>.</w:t>
      </w:r>
      <w:r w:rsidR="00F111AC">
        <w:t xml:space="preserve">  </w:t>
      </w:r>
    </w:p>
    <w:p w14:paraId="21B208A3" w14:textId="77777777" w:rsidR="00F02EF2" w:rsidRDefault="00F02EF2" w:rsidP="003E5D7E">
      <w:pPr>
        <w:pStyle w:val="Style"/>
        <w:ind w:left="19" w:right="10"/>
        <w:rPr>
          <w:b/>
        </w:rPr>
      </w:pPr>
    </w:p>
    <w:p w14:paraId="32721584" w14:textId="77777777" w:rsidR="00751C23" w:rsidRPr="006052A1" w:rsidRDefault="00F67982" w:rsidP="003E5D7E">
      <w:pPr>
        <w:pStyle w:val="Style"/>
        <w:ind w:left="19" w:right="10"/>
        <w:rPr>
          <w:b/>
        </w:rPr>
      </w:pPr>
      <w:r w:rsidRPr="006052A1">
        <w:rPr>
          <w:b/>
        </w:rPr>
        <w:t>8</w:t>
      </w:r>
      <w:r w:rsidR="00E6227E" w:rsidRPr="006052A1">
        <w:rPr>
          <w:b/>
        </w:rPr>
        <w:t>.0</w:t>
      </w:r>
      <w:r w:rsidR="00E6227E" w:rsidRPr="006052A1">
        <w:rPr>
          <w:b/>
        </w:rPr>
        <w:tab/>
      </w:r>
      <w:r w:rsidR="00713AB3" w:rsidRPr="006052A1">
        <w:rPr>
          <w:b/>
        </w:rPr>
        <w:t>POSSIBLE PROBLEMS OR CONFLICTS</w:t>
      </w:r>
    </w:p>
    <w:p w14:paraId="32721585" w14:textId="77777777" w:rsidR="00E6654B" w:rsidRDefault="00E6654B" w:rsidP="003E5D7E">
      <w:pPr>
        <w:pStyle w:val="Style"/>
        <w:ind w:left="19" w:right="10"/>
        <w:rPr>
          <w:u w:val="single"/>
        </w:rPr>
      </w:pPr>
    </w:p>
    <w:p w14:paraId="32721586" w14:textId="6A8BF2BE" w:rsidR="009C564C" w:rsidRDefault="0010709B" w:rsidP="00E523AB">
      <w:r>
        <w:t>The exchange must</w:t>
      </w:r>
      <w:r w:rsidR="00E523AB">
        <w:t xml:space="preserve"> comply with </w:t>
      </w:r>
      <w:r w:rsidR="00C75A50">
        <w:t xml:space="preserve">county </w:t>
      </w:r>
      <w:r w:rsidR="00E523AB">
        <w:t>land use planning requirements</w:t>
      </w:r>
      <w:r>
        <w:t>.</w:t>
      </w:r>
      <w:r w:rsidR="00583D86">
        <w:t xml:space="preserve">  T</w:t>
      </w:r>
      <w:r w:rsidR="006C0169">
        <w:t>he non-Federal lands are located in Wheeler County</w:t>
      </w:r>
      <w:r w:rsidR="00914C83">
        <w:t>,</w:t>
      </w:r>
      <w:r w:rsidR="006C0169">
        <w:t xml:space="preserve"> and the Federal lands are located in Wa</w:t>
      </w:r>
      <w:r w:rsidR="00D82F5E">
        <w:t>s</w:t>
      </w:r>
      <w:r w:rsidR="006C0169">
        <w:t>co County</w:t>
      </w:r>
      <w:r w:rsidR="00E523AB">
        <w:t xml:space="preserve">.  </w:t>
      </w:r>
      <w:r>
        <w:t>Both counties require</w:t>
      </w:r>
      <w:r w:rsidR="00505536">
        <w:t xml:space="preserve"> </w:t>
      </w:r>
      <w:r w:rsidR="00E523AB">
        <w:t xml:space="preserve">property line </w:t>
      </w:r>
      <w:proofErr w:type="spellStart"/>
      <w:r w:rsidR="00E523AB">
        <w:t>adjustments</w:t>
      </w:r>
      <w:r w:rsidR="00851A4E">
        <w:t>to</w:t>
      </w:r>
      <w:proofErr w:type="spellEnd"/>
      <w:r w:rsidR="00851A4E">
        <w:t xml:space="preserve"> be recorded in order</w:t>
      </w:r>
      <w:r w:rsidR="00E523AB">
        <w:t xml:space="preserve"> to correct past land use actions and conform with land use requirements pertaining to the exchange.  </w:t>
      </w:r>
      <w:r w:rsidR="004B0C22">
        <w:t xml:space="preserve">The process requires </w:t>
      </w:r>
      <w:r w:rsidR="00C75A50">
        <w:t>a</w:t>
      </w:r>
      <w:r w:rsidR="00E523AB">
        <w:t>pplications</w:t>
      </w:r>
      <w:r w:rsidR="00914C83">
        <w:t>,</w:t>
      </w:r>
      <w:r w:rsidR="00E523AB">
        <w:t xml:space="preserve"> with filing fees</w:t>
      </w:r>
      <w:r w:rsidR="00914C83">
        <w:t>,</w:t>
      </w:r>
      <w:r w:rsidR="00E523AB">
        <w:t xml:space="preserve"> to </w:t>
      </w:r>
      <w:r w:rsidR="00583D86">
        <w:t>the respective c</w:t>
      </w:r>
      <w:r w:rsidR="002806FE">
        <w:t>ount</w:t>
      </w:r>
      <w:r w:rsidR="00E72FCD">
        <w:t>ies with</w:t>
      </w:r>
      <w:r w:rsidR="00E523AB">
        <w:t xml:space="preserve"> a map</w:t>
      </w:r>
      <w:r w:rsidR="00C75A50">
        <w:t>.  A</w:t>
      </w:r>
      <w:r w:rsidR="00C75A50" w:rsidRPr="00C75A50">
        <w:t xml:space="preserve"> surveyor licensed in the State of Oregon </w:t>
      </w:r>
      <w:r w:rsidR="00C75A50">
        <w:t xml:space="preserve">must prepare the map.  The county surveyor must </w:t>
      </w:r>
      <w:r w:rsidR="00E523AB">
        <w:t>review and approve</w:t>
      </w:r>
      <w:r w:rsidR="00C75A50">
        <w:t xml:space="preserve"> the map.  The applicant must then</w:t>
      </w:r>
      <w:r w:rsidR="00E523AB">
        <w:t xml:space="preserve"> file</w:t>
      </w:r>
      <w:r w:rsidR="00C75A50">
        <w:t xml:space="preserve"> the map</w:t>
      </w:r>
      <w:r w:rsidR="00E523AB">
        <w:t xml:space="preserve"> with the County Clerk’s Office.  The</w:t>
      </w:r>
      <w:r w:rsidR="0086204A">
        <w:t xml:space="preserve"> county </w:t>
      </w:r>
      <w:r w:rsidR="00E523AB">
        <w:t>process is subject to notification of surrounding landowners with the right to appeal.</w:t>
      </w:r>
    </w:p>
    <w:p w14:paraId="32721587" w14:textId="77777777" w:rsidR="009C564C" w:rsidRDefault="009C564C" w:rsidP="00E523AB"/>
    <w:p w14:paraId="3272158A" w14:textId="77777777" w:rsidR="00D478F3" w:rsidRPr="00BC6E1F" w:rsidRDefault="00E918CA" w:rsidP="00D478F3">
      <w:pPr>
        <w:pStyle w:val="Style"/>
        <w:ind w:right="10"/>
        <w:rPr>
          <w:b/>
        </w:rPr>
      </w:pPr>
      <w:r w:rsidRPr="00BC6E1F">
        <w:rPr>
          <w:b/>
        </w:rPr>
        <w:t>9</w:t>
      </w:r>
      <w:r w:rsidR="00E6227E" w:rsidRPr="00BC6E1F">
        <w:rPr>
          <w:b/>
        </w:rPr>
        <w:t>.0</w:t>
      </w:r>
      <w:r w:rsidR="00E6227E" w:rsidRPr="00BC6E1F">
        <w:rPr>
          <w:b/>
        </w:rPr>
        <w:tab/>
      </w:r>
      <w:r w:rsidR="00751C23" w:rsidRPr="00BC6E1F">
        <w:rPr>
          <w:b/>
        </w:rPr>
        <w:t>PROCESSING COSTS AND FUNDING</w:t>
      </w:r>
    </w:p>
    <w:p w14:paraId="3272158B" w14:textId="77777777" w:rsidR="00751C23" w:rsidRDefault="00751C23" w:rsidP="004B468B">
      <w:pPr>
        <w:pStyle w:val="Style"/>
        <w:ind w:right="10"/>
        <w:rPr>
          <w:u w:val="single"/>
        </w:rPr>
      </w:pPr>
    </w:p>
    <w:p w14:paraId="3272158C" w14:textId="297E79C4" w:rsidR="008203BC" w:rsidRDefault="005543E5" w:rsidP="008203BC">
      <w:pPr>
        <w:pStyle w:val="Style"/>
        <w:ind w:right="10"/>
      </w:pPr>
      <w:r>
        <w:t>T</w:t>
      </w:r>
      <w:r w:rsidRPr="005543E5">
        <w:t xml:space="preserve">he </w:t>
      </w:r>
      <w:r w:rsidR="00C626E2">
        <w:t xml:space="preserve">Hugh Kelly and Rosemary </w:t>
      </w:r>
      <w:proofErr w:type="spellStart"/>
      <w:r w:rsidRPr="005543E5">
        <w:t>McGreer</w:t>
      </w:r>
      <w:proofErr w:type="spellEnd"/>
      <w:r w:rsidRPr="005543E5">
        <w:t xml:space="preserve"> </w:t>
      </w:r>
      <w:r w:rsidR="00C626E2">
        <w:t>reviewed and agreed with</w:t>
      </w:r>
      <w:r w:rsidRPr="005543E5">
        <w:t xml:space="preserve"> </w:t>
      </w:r>
      <w:r>
        <w:t>t</w:t>
      </w:r>
      <w:r w:rsidR="00C61700">
        <w:t>he cost</w:t>
      </w:r>
      <w:r w:rsidR="00914C83">
        <w:t>-</w:t>
      </w:r>
      <w:r w:rsidR="00C61700">
        <w:t xml:space="preserve">sharing responsibilities listed below.  </w:t>
      </w:r>
      <w:r w:rsidR="008203BC">
        <w:rPr>
          <w:color w:val="000000"/>
        </w:rPr>
        <w:t xml:space="preserve">Upon </w:t>
      </w:r>
      <w:r w:rsidR="0086204A">
        <w:rPr>
          <w:color w:val="000000"/>
        </w:rPr>
        <w:t xml:space="preserve">approval of the feasibility package by the Director and </w:t>
      </w:r>
      <w:r>
        <w:rPr>
          <w:color w:val="000000"/>
        </w:rPr>
        <w:t>execution of</w:t>
      </w:r>
      <w:r w:rsidR="0086204A">
        <w:rPr>
          <w:color w:val="000000"/>
        </w:rPr>
        <w:t xml:space="preserve"> </w:t>
      </w:r>
      <w:r w:rsidR="008203BC">
        <w:rPr>
          <w:color w:val="000000"/>
        </w:rPr>
        <w:t>the A</w:t>
      </w:r>
      <w:r w:rsidR="000467B5">
        <w:rPr>
          <w:color w:val="000000"/>
        </w:rPr>
        <w:t>greement to Initiate a Land Exchange</w:t>
      </w:r>
      <w:r w:rsidR="008203BC">
        <w:rPr>
          <w:color w:val="000000"/>
        </w:rPr>
        <w:t xml:space="preserve">, </w:t>
      </w:r>
      <w:r>
        <w:rPr>
          <w:color w:val="000000"/>
        </w:rPr>
        <w:t xml:space="preserve">the BLM will </w:t>
      </w:r>
      <w:r w:rsidR="008203BC">
        <w:rPr>
          <w:color w:val="000000"/>
        </w:rPr>
        <w:t>request</w:t>
      </w:r>
      <w:r>
        <w:rPr>
          <w:color w:val="000000"/>
        </w:rPr>
        <w:t xml:space="preserve"> payment from</w:t>
      </w:r>
      <w:r w:rsidR="008203BC">
        <w:rPr>
          <w:color w:val="000000"/>
        </w:rPr>
        <w:t xml:space="preserve"> </w:t>
      </w:r>
      <w:r w:rsidR="00C626E2">
        <w:rPr>
          <w:color w:val="000000"/>
        </w:rPr>
        <w:t>Hugh Kelly and Rosemary</w:t>
      </w:r>
      <w:r w:rsidR="008203BC">
        <w:rPr>
          <w:color w:val="000000"/>
        </w:rPr>
        <w:t xml:space="preserve"> </w:t>
      </w:r>
      <w:proofErr w:type="spellStart"/>
      <w:r w:rsidR="008203BC">
        <w:rPr>
          <w:color w:val="000000"/>
        </w:rPr>
        <w:t>McGreer</w:t>
      </w:r>
      <w:proofErr w:type="spellEnd"/>
      <w:r w:rsidR="008203BC">
        <w:rPr>
          <w:color w:val="000000"/>
        </w:rPr>
        <w:t xml:space="preserve"> that </w:t>
      </w:r>
      <w:proofErr w:type="gramStart"/>
      <w:r w:rsidR="008203BC">
        <w:rPr>
          <w:color w:val="000000"/>
        </w:rPr>
        <w:t xml:space="preserve">will </w:t>
      </w:r>
      <w:r w:rsidR="004B0C22">
        <w:rPr>
          <w:color w:val="000000"/>
        </w:rPr>
        <w:t xml:space="preserve">be </w:t>
      </w:r>
      <w:r w:rsidR="008203BC">
        <w:rPr>
          <w:color w:val="000000"/>
        </w:rPr>
        <w:t>deposit</w:t>
      </w:r>
      <w:r w:rsidR="004B0C22">
        <w:rPr>
          <w:color w:val="000000"/>
        </w:rPr>
        <w:t>ed</w:t>
      </w:r>
      <w:r w:rsidR="008203BC">
        <w:rPr>
          <w:color w:val="000000"/>
        </w:rPr>
        <w:t xml:space="preserve"> in the </w:t>
      </w:r>
      <w:r w:rsidR="00F70510">
        <w:rPr>
          <w:color w:val="000000"/>
        </w:rPr>
        <w:t>c</w:t>
      </w:r>
      <w:r w:rsidR="008203BC">
        <w:t xml:space="preserve">ontributed funds </w:t>
      </w:r>
      <w:r w:rsidR="008203BC" w:rsidRPr="00291932">
        <w:t>account</w:t>
      </w:r>
      <w:r w:rsidR="00111A3E">
        <w:t xml:space="preserve"> and</w:t>
      </w:r>
      <w:r w:rsidR="0086204A">
        <w:t xml:space="preserve"> use</w:t>
      </w:r>
      <w:r w:rsidR="004B0C22">
        <w:t>d</w:t>
      </w:r>
      <w:r w:rsidR="0086204A">
        <w:t xml:space="preserve"> to cover </w:t>
      </w:r>
      <w:r w:rsidR="008203BC">
        <w:t>the shared costs of the land exchange</w:t>
      </w:r>
      <w:proofErr w:type="gramEnd"/>
      <w:r w:rsidR="008203BC">
        <w:t xml:space="preserve">.   </w:t>
      </w:r>
    </w:p>
    <w:p w14:paraId="3272158D" w14:textId="77777777" w:rsidR="008203BC" w:rsidRPr="001F6E34" w:rsidRDefault="008203BC" w:rsidP="004B468B">
      <w:pPr>
        <w:pStyle w:val="Style"/>
        <w:ind w:right="10"/>
        <w:rPr>
          <w:u w:val="single"/>
        </w:rPr>
      </w:pPr>
    </w:p>
    <w:p w14:paraId="621D0E20" w14:textId="4DF146A1" w:rsidR="005543E5" w:rsidRDefault="00FD04E8" w:rsidP="005543E5">
      <w:pPr>
        <w:autoSpaceDE w:val="0"/>
        <w:autoSpaceDN w:val="0"/>
        <w:adjustRightInd w:val="0"/>
        <w:spacing w:line="240" w:lineRule="atLeast"/>
      </w:pPr>
      <w:r w:rsidRPr="0010255D">
        <w:t xml:space="preserve">There is an administrative economy in </w:t>
      </w:r>
      <w:r w:rsidR="0086204A">
        <w:t xml:space="preserve">combining and </w:t>
      </w:r>
      <w:r w:rsidRPr="0010255D">
        <w:t>not duplicati</w:t>
      </w:r>
      <w:r w:rsidR="008203BC">
        <w:t xml:space="preserve">ng project work for </w:t>
      </w:r>
      <w:r w:rsidRPr="0010255D">
        <w:t>task</w:t>
      </w:r>
      <w:r w:rsidR="008203BC">
        <w:t xml:space="preserve">s needed for </w:t>
      </w:r>
      <w:r w:rsidR="00397AF5">
        <w:t xml:space="preserve">both </w:t>
      </w:r>
      <w:r w:rsidR="008203BC">
        <w:t xml:space="preserve">the </w:t>
      </w:r>
      <w:r w:rsidR="00547F3A">
        <w:t>C</w:t>
      </w:r>
      <w:r w:rsidR="005543E5">
        <w:t>onfederated Tribes of Warm Springs</w:t>
      </w:r>
      <w:r w:rsidR="000462BC">
        <w:t xml:space="preserve"> Reservation of Oregon (CTWSRO)</w:t>
      </w:r>
      <w:r w:rsidR="003721CB">
        <w:t xml:space="preserve"> </w:t>
      </w:r>
      <w:r w:rsidR="000462BC">
        <w:t xml:space="preserve">and the </w:t>
      </w:r>
      <w:proofErr w:type="spellStart"/>
      <w:r w:rsidR="000462BC">
        <w:t>McGreer</w:t>
      </w:r>
      <w:proofErr w:type="spellEnd"/>
      <w:r w:rsidR="000462BC">
        <w:t xml:space="preserve"> </w:t>
      </w:r>
      <w:r w:rsidR="0086204A">
        <w:t xml:space="preserve">exchanges.  </w:t>
      </w:r>
      <w:r w:rsidR="005543E5">
        <w:t>The field office developed a</w:t>
      </w:r>
      <w:r w:rsidR="008203BC">
        <w:t xml:space="preserve"> </w:t>
      </w:r>
      <w:r w:rsidR="008E301C">
        <w:t xml:space="preserve">methodology </w:t>
      </w:r>
      <w:r w:rsidRPr="0010255D">
        <w:t xml:space="preserve">to determine the proportionate share of the various tasks by </w:t>
      </w:r>
      <w:r w:rsidR="008203BC">
        <w:t xml:space="preserve">the </w:t>
      </w:r>
      <w:r w:rsidRPr="0010255D">
        <w:t>respec</w:t>
      </w:r>
      <w:r w:rsidR="008203BC">
        <w:t xml:space="preserve">tive </w:t>
      </w:r>
      <w:r w:rsidRPr="0010255D">
        <w:t xml:space="preserve">acreage for each exchange.  </w:t>
      </w:r>
      <w:r w:rsidR="005543E5">
        <w:t>T</w:t>
      </w:r>
      <w:r w:rsidR="005543E5" w:rsidRPr="005543E5">
        <w:t>he BLM, the CTWSRO</w:t>
      </w:r>
      <w:r w:rsidR="00914C83">
        <w:t>,</w:t>
      </w:r>
      <w:r w:rsidR="000462BC">
        <w:t xml:space="preserve"> and </w:t>
      </w:r>
      <w:r w:rsidR="006979E2">
        <w:t xml:space="preserve">Hugh Kelly and Rosemary </w:t>
      </w:r>
      <w:proofErr w:type="spellStart"/>
      <w:r w:rsidR="006979E2">
        <w:t>McGreer</w:t>
      </w:r>
      <w:proofErr w:type="spellEnd"/>
      <w:r w:rsidR="005543E5" w:rsidRPr="005543E5">
        <w:t xml:space="preserve"> </w:t>
      </w:r>
      <w:r w:rsidR="005543E5">
        <w:t>will proportionately share t</w:t>
      </w:r>
      <w:r w:rsidRPr="0010255D">
        <w:t xml:space="preserve">he costs associated with the </w:t>
      </w:r>
      <w:r w:rsidR="00397AF5">
        <w:t>M</w:t>
      </w:r>
      <w:r w:rsidRPr="0010255D">
        <w:t>ineral</w:t>
      </w:r>
      <w:r w:rsidR="00397AF5">
        <w:t xml:space="preserve"> Potential R</w:t>
      </w:r>
      <w:r w:rsidRPr="0010255D">
        <w:t>eport, Environmental Site Assessment</w:t>
      </w:r>
      <w:r w:rsidR="002F0A4E">
        <w:t>,</w:t>
      </w:r>
      <w:r w:rsidRPr="0010255D">
        <w:t xml:space="preserve"> and various</w:t>
      </w:r>
      <w:r w:rsidR="000467B5">
        <w:t xml:space="preserve"> tasks related to the National Environmental Protection Act (NEPA)</w:t>
      </w:r>
      <w:r w:rsidRPr="0010255D">
        <w:t xml:space="preserve"> </w:t>
      </w:r>
      <w:r w:rsidR="005543E5" w:rsidRPr="005543E5">
        <w:t xml:space="preserve">as indicated in the tables below.  </w:t>
      </w:r>
    </w:p>
    <w:p w14:paraId="21226F0F" w14:textId="77777777" w:rsidR="00997B30" w:rsidRDefault="00997B30" w:rsidP="005543E5">
      <w:pPr>
        <w:autoSpaceDE w:val="0"/>
        <w:autoSpaceDN w:val="0"/>
        <w:adjustRightInd w:val="0"/>
        <w:spacing w:line="240" w:lineRule="atLeast"/>
      </w:pPr>
    </w:p>
    <w:p w14:paraId="410B5283" w14:textId="6A69510A" w:rsidR="00997B30" w:rsidRDefault="00997B30">
      <w:r>
        <w:br w:type="page"/>
      </w:r>
    </w:p>
    <w:p w14:paraId="6556EA96" w14:textId="77777777" w:rsidR="00997B30" w:rsidRPr="005543E5" w:rsidRDefault="00997B30" w:rsidP="005543E5">
      <w:pPr>
        <w:autoSpaceDE w:val="0"/>
        <w:autoSpaceDN w:val="0"/>
        <w:adjustRightInd w:val="0"/>
        <w:spacing w:line="240" w:lineRule="atLeast"/>
      </w:pPr>
    </w:p>
    <w:tbl>
      <w:tblPr>
        <w:tblW w:w="9057" w:type="dxa"/>
        <w:jc w:val="center"/>
        <w:tblInd w:w="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464"/>
        <w:gridCol w:w="899"/>
        <w:gridCol w:w="1048"/>
        <w:gridCol w:w="1145"/>
        <w:gridCol w:w="1791"/>
        <w:gridCol w:w="1710"/>
      </w:tblGrid>
      <w:tr w:rsidR="00266439" w:rsidRPr="001B3039" w14:paraId="7DA97307" w14:textId="77777777" w:rsidTr="002036B0">
        <w:trPr>
          <w:cantSplit/>
          <w:trHeight w:val="1430"/>
          <w:tblHeader/>
          <w:jc w:val="center"/>
        </w:trPr>
        <w:tc>
          <w:tcPr>
            <w:tcW w:w="9057" w:type="dxa"/>
            <w:gridSpan w:val="6"/>
            <w:shd w:val="clear" w:color="auto" w:fill="auto"/>
            <w:vAlign w:val="center"/>
          </w:tcPr>
          <w:p w14:paraId="1A1935F0" w14:textId="0314B0EC" w:rsidR="00266439" w:rsidRDefault="00266439" w:rsidP="001B3039">
            <w:pPr>
              <w:spacing w:line="240" w:lineRule="atLeast"/>
              <w:jc w:val="center"/>
              <w:rPr>
                <w:b/>
              </w:rPr>
            </w:pPr>
            <w:r>
              <w:rPr>
                <w:b/>
              </w:rPr>
              <w:t>Project Management</w:t>
            </w:r>
          </w:p>
          <w:p w14:paraId="5B77195B" w14:textId="77777777" w:rsidR="00266439" w:rsidRDefault="00266439" w:rsidP="001B3039">
            <w:pPr>
              <w:spacing w:line="240" w:lineRule="atLeast"/>
              <w:jc w:val="center"/>
              <w:rPr>
                <w:b/>
              </w:rPr>
            </w:pPr>
            <w:r>
              <w:rPr>
                <w:b/>
              </w:rPr>
              <w:t>Combining Tasks to Share Costs</w:t>
            </w:r>
          </w:p>
          <w:p w14:paraId="53A8614C" w14:textId="4BD400AF" w:rsidR="00266439" w:rsidRPr="001B3039" w:rsidRDefault="00266439" w:rsidP="001B3039">
            <w:pPr>
              <w:spacing w:line="240" w:lineRule="atLeast"/>
              <w:jc w:val="center"/>
              <w:rPr>
                <w:b/>
              </w:rPr>
            </w:pPr>
            <w:r>
              <w:rPr>
                <w:b/>
              </w:rPr>
              <w:t>In Proportion to Acreage Equivalents</w:t>
            </w:r>
          </w:p>
        </w:tc>
      </w:tr>
      <w:tr w:rsidR="001B3039" w:rsidRPr="001B3039" w14:paraId="05552070" w14:textId="77777777" w:rsidTr="002036B0">
        <w:trPr>
          <w:cantSplit/>
          <w:trHeight w:val="1340"/>
          <w:tblHeader/>
          <w:jc w:val="center"/>
        </w:trPr>
        <w:tc>
          <w:tcPr>
            <w:tcW w:w="2464" w:type="dxa"/>
            <w:shd w:val="clear" w:color="auto" w:fill="auto"/>
            <w:vAlign w:val="center"/>
          </w:tcPr>
          <w:p w14:paraId="4DD10E37" w14:textId="77777777" w:rsidR="001B3039" w:rsidRPr="001B3039" w:rsidRDefault="001B3039" w:rsidP="001B3039">
            <w:pPr>
              <w:spacing w:line="240" w:lineRule="atLeast"/>
              <w:jc w:val="center"/>
              <w:rPr>
                <w:b/>
              </w:rPr>
            </w:pPr>
            <w:r w:rsidRPr="001B3039">
              <w:rPr>
                <w:b/>
              </w:rPr>
              <w:t>Exchange</w:t>
            </w:r>
          </w:p>
          <w:p w14:paraId="681B298C" w14:textId="77777777" w:rsidR="001B3039" w:rsidRPr="001B3039" w:rsidRDefault="001B3039" w:rsidP="001B3039">
            <w:pPr>
              <w:spacing w:line="240" w:lineRule="atLeast"/>
              <w:jc w:val="center"/>
              <w:rPr>
                <w:b/>
              </w:rPr>
            </w:pPr>
            <w:r w:rsidRPr="001B3039">
              <w:rPr>
                <w:b/>
              </w:rPr>
              <w:t>Acreage</w:t>
            </w:r>
          </w:p>
          <w:p w14:paraId="7515CA54" w14:textId="77777777" w:rsidR="001B3039" w:rsidRPr="001B3039" w:rsidRDefault="001B3039" w:rsidP="001B3039">
            <w:pPr>
              <w:spacing w:line="240" w:lineRule="atLeast"/>
              <w:jc w:val="center"/>
              <w:rPr>
                <w:b/>
              </w:rPr>
            </w:pPr>
          </w:p>
        </w:tc>
        <w:tc>
          <w:tcPr>
            <w:tcW w:w="1947" w:type="dxa"/>
            <w:gridSpan w:val="2"/>
            <w:shd w:val="clear" w:color="auto" w:fill="auto"/>
            <w:vAlign w:val="center"/>
          </w:tcPr>
          <w:p w14:paraId="5FFFFCFD" w14:textId="77777777" w:rsidR="001B3039" w:rsidRPr="001B3039" w:rsidRDefault="001B3039" w:rsidP="001B3039">
            <w:pPr>
              <w:spacing w:line="240" w:lineRule="atLeast"/>
              <w:jc w:val="center"/>
              <w:rPr>
                <w:b/>
              </w:rPr>
            </w:pPr>
            <w:r w:rsidRPr="001B3039">
              <w:rPr>
                <w:b/>
              </w:rPr>
              <w:t>Exchange</w:t>
            </w:r>
          </w:p>
          <w:p w14:paraId="7A995524" w14:textId="77777777" w:rsidR="001B3039" w:rsidRPr="001B3039" w:rsidRDefault="001B3039" w:rsidP="001B3039">
            <w:pPr>
              <w:spacing w:line="240" w:lineRule="atLeast"/>
              <w:jc w:val="center"/>
              <w:rPr>
                <w:b/>
              </w:rPr>
            </w:pPr>
            <w:r w:rsidRPr="001B3039">
              <w:rPr>
                <w:b/>
              </w:rPr>
              <w:t>Acreage</w:t>
            </w:r>
          </w:p>
          <w:p w14:paraId="6764411C" w14:textId="77777777" w:rsidR="001B3039" w:rsidRPr="001B3039" w:rsidRDefault="001B3039" w:rsidP="001B3039">
            <w:pPr>
              <w:spacing w:line="240" w:lineRule="atLeast"/>
              <w:jc w:val="center"/>
              <w:rPr>
                <w:b/>
              </w:rPr>
            </w:pPr>
          </w:p>
        </w:tc>
        <w:tc>
          <w:tcPr>
            <w:tcW w:w="1145" w:type="dxa"/>
            <w:shd w:val="clear" w:color="auto" w:fill="auto"/>
            <w:vAlign w:val="center"/>
          </w:tcPr>
          <w:p w14:paraId="0C22B2E8" w14:textId="77777777" w:rsidR="001B3039" w:rsidRPr="001B3039" w:rsidRDefault="001B3039" w:rsidP="001B3039">
            <w:pPr>
              <w:spacing w:line="240" w:lineRule="atLeast"/>
              <w:jc w:val="center"/>
              <w:rPr>
                <w:b/>
              </w:rPr>
            </w:pPr>
            <w:r w:rsidRPr="001B3039">
              <w:rPr>
                <w:b/>
              </w:rPr>
              <w:t>Total Acres</w:t>
            </w:r>
          </w:p>
        </w:tc>
        <w:tc>
          <w:tcPr>
            <w:tcW w:w="1791" w:type="dxa"/>
            <w:shd w:val="clear" w:color="auto" w:fill="auto"/>
            <w:vAlign w:val="center"/>
          </w:tcPr>
          <w:p w14:paraId="2A3618B1" w14:textId="77777777" w:rsidR="001B3039" w:rsidRPr="001B3039" w:rsidRDefault="001B3039" w:rsidP="001B3039">
            <w:pPr>
              <w:spacing w:line="240" w:lineRule="atLeast"/>
              <w:jc w:val="center"/>
              <w:rPr>
                <w:b/>
              </w:rPr>
            </w:pPr>
            <w:r w:rsidRPr="001B3039">
              <w:rPr>
                <w:b/>
              </w:rPr>
              <w:t>Proportionate Share</w:t>
            </w:r>
          </w:p>
          <w:p w14:paraId="785E10CB" w14:textId="77777777" w:rsidR="001B3039" w:rsidRPr="001B3039" w:rsidRDefault="001B3039" w:rsidP="001B3039">
            <w:pPr>
              <w:spacing w:line="240" w:lineRule="atLeast"/>
              <w:jc w:val="center"/>
              <w:rPr>
                <w:b/>
              </w:rPr>
            </w:pPr>
            <w:proofErr w:type="spellStart"/>
            <w:r w:rsidRPr="001B3039">
              <w:rPr>
                <w:b/>
              </w:rPr>
              <w:t>McGreer</w:t>
            </w:r>
            <w:proofErr w:type="spellEnd"/>
          </w:p>
        </w:tc>
        <w:tc>
          <w:tcPr>
            <w:tcW w:w="1710" w:type="dxa"/>
            <w:shd w:val="clear" w:color="auto" w:fill="auto"/>
            <w:vAlign w:val="center"/>
          </w:tcPr>
          <w:p w14:paraId="4BB73B6C" w14:textId="77777777" w:rsidR="001B3039" w:rsidRPr="001B3039" w:rsidRDefault="001B3039" w:rsidP="001B3039">
            <w:pPr>
              <w:spacing w:line="240" w:lineRule="atLeast"/>
              <w:jc w:val="center"/>
              <w:rPr>
                <w:b/>
              </w:rPr>
            </w:pPr>
            <w:r w:rsidRPr="001B3039">
              <w:rPr>
                <w:b/>
              </w:rPr>
              <w:t>Proportionate Share</w:t>
            </w:r>
          </w:p>
          <w:p w14:paraId="4F6F8BDB" w14:textId="77777777" w:rsidR="001B3039" w:rsidRPr="001B3039" w:rsidRDefault="001B3039" w:rsidP="001B3039">
            <w:pPr>
              <w:spacing w:line="240" w:lineRule="atLeast"/>
              <w:jc w:val="center"/>
              <w:rPr>
                <w:b/>
              </w:rPr>
            </w:pPr>
            <w:r w:rsidRPr="001B3039">
              <w:rPr>
                <w:b/>
              </w:rPr>
              <w:t>CTWSRO</w:t>
            </w:r>
          </w:p>
        </w:tc>
      </w:tr>
      <w:tr w:rsidR="001B3039" w:rsidRPr="001B3039" w14:paraId="0E51C8F3" w14:textId="77777777" w:rsidTr="0052238D">
        <w:trPr>
          <w:jc w:val="center"/>
        </w:trPr>
        <w:tc>
          <w:tcPr>
            <w:tcW w:w="2464" w:type="dxa"/>
            <w:shd w:val="clear" w:color="auto" w:fill="auto"/>
            <w:vAlign w:val="center"/>
          </w:tcPr>
          <w:p w14:paraId="2DCA0DEE" w14:textId="77777777" w:rsidR="001B3039" w:rsidRPr="001B3039" w:rsidRDefault="001B3039" w:rsidP="001B3039">
            <w:pPr>
              <w:spacing w:line="240" w:lineRule="atLeast"/>
              <w:jc w:val="center"/>
            </w:pPr>
          </w:p>
          <w:p w14:paraId="3B852181" w14:textId="77777777" w:rsidR="001B3039" w:rsidRPr="001B3039" w:rsidRDefault="001B3039" w:rsidP="001B3039">
            <w:pPr>
              <w:spacing w:line="240" w:lineRule="atLeast"/>
              <w:jc w:val="center"/>
            </w:pPr>
            <w:r w:rsidRPr="001B3039">
              <w:t>4,547.93 - CTWSRO</w:t>
            </w:r>
          </w:p>
          <w:p w14:paraId="7D63149F" w14:textId="77777777" w:rsidR="001B3039" w:rsidRPr="001B3039" w:rsidRDefault="001B3039" w:rsidP="001B3039">
            <w:pPr>
              <w:spacing w:line="240" w:lineRule="atLeast"/>
              <w:rPr>
                <w:u w:val="single"/>
              </w:rPr>
            </w:pPr>
            <w:r w:rsidRPr="001B3039">
              <w:rPr>
                <w:u w:val="single"/>
              </w:rPr>
              <w:t>+ 4,507.15 – Federal</w:t>
            </w:r>
          </w:p>
          <w:p w14:paraId="5D1B11E5" w14:textId="77777777" w:rsidR="001B3039" w:rsidRPr="001B3039" w:rsidRDefault="001B3039" w:rsidP="001B3039">
            <w:pPr>
              <w:spacing w:line="240" w:lineRule="atLeast"/>
              <w:jc w:val="center"/>
            </w:pPr>
            <w:r w:rsidRPr="001B3039">
              <w:t>9,055.08</w:t>
            </w:r>
          </w:p>
          <w:p w14:paraId="728A5B06" w14:textId="77777777" w:rsidR="001B3039" w:rsidRPr="001B3039" w:rsidRDefault="001B3039" w:rsidP="001B3039">
            <w:pPr>
              <w:spacing w:line="240" w:lineRule="atLeast"/>
              <w:jc w:val="center"/>
            </w:pPr>
          </w:p>
        </w:tc>
        <w:tc>
          <w:tcPr>
            <w:tcW w:w="1947" w:type="dxa"/>
            <w:gridSpan w:val="2"/>
            <w:shd w:val="clear" w:color="auto" w:fill="auto"/>
            <w:vAlign w:val="center"/>
          </w:tcPr>
          <w:p w14:paraId="40D2F768" w14:textId="77777777" w:rsidR="001B3039" w:rsidRPr="001B3039" w:rsidRDefault="001B3039" w:rsidP="001B3039">
            <w:pPr>
              <w:spacing w:line="240" w:lineRule="atLeast"/>
              <w:jc w:val="center"/>
            </w:pPr>
            <w:r w:rsidRPr="001B3039">
              <w:t xml:space="preserve">26.47 - </w:t>
            </w:r>
            <w:proofErr w:type="spellStart"/>
            <w:r w:rsidRPr="001B3039">
              <w:t>McGreer</w:t>
            </w:r>
            <w:proofErr w:type="spellEnd"/>
          </w:p>
          <w:p w14:paraId="786A1EEE" w14:textId="77777777" w:rsidR="001B3039" w:rsidRPr="001B3039" w:rsidRDefault="001B3039" w:rsidP="001B3039">
            <w:pPr>
              <w:spacing w:line="240" w:lineRule="atLeast"/>
              <w:jc w:val="center"/>
              <w:rPr>
                <w:u w:val="single"/>
              </w:rPr>
            </w:pPr>
            <w:r w:rsidRPr="001B3039">
              <w:rPr>
                <w:u w:val="single"/>
              </w:rPr>
              <w:t>+ 344.31- Federal</w:t>
            </w:r>
          </w:p>
          <w:p w14:paraId="1A317B9C" w14:textId="77777777" w:rsidR="001B3039" w:rsidRPr="001B3039" w:rsidRDefault="001B3039" w:rsidP="001B3039">
            <w:pPr>
              <w:spacing w:line="240" w:lineRule="atLeast"/>
              <w:jc w:val="center"/>
            </w:pPr>
            <w:r w:rsidRPr="001B3039">
              <w:t>359.74</w:t>
            </w:r>
          </w:p>
        </w:tc>
        <w:tc>
          <w:tcPr>
            <w:tcW w:w="1145" w:type="dxa"/>
            <w:shd w:val="clear" w:color="auto" w:fill="auto"/>
            <w:vAlign w:val="center"/>
          </w:tcPr>
          <w:p w14:paraId="775FDFEB" w14:textId="77777777" w:rsidR="001B3039" w:rsidRPr="001B3039" w:rsidRDefault="001B3039" w:rsidP="001B3039">
            <w:pPr>
              <w:spacing w:line="240" w:lineRule="atLeast"/>
              <w:jc w:val="center"/>
            </w:pPr>
            <w:r w:rsidRPr="001B3039">
              <w:t>9,425.86</w:t>
            </w:r>
          </w:p>
        </w:tc>
        <w:tc>
          <w:tcPr>
            <w:tcW w:w="1791" w:type="dxa"/>
            <w:shd w:val="clear" w:color="auto" w:fill="auto"/>
            <w:vAlign w:val="center"/>
          </w:tcPr>
          <w:p w14:paraId="341E28D1" w14:textId="77777777" w:rsidR="001B3039" w:rsidRPr="001B3039" w:rsidRDefault="001B3039" w:rsidP="001B3039">
            <w:pPr>
              <w:spacing w:line="240" w:lineRule="atLeast"/>
              <w:jc w:val="center"/>
            </w:pPr>
            <w:r w:rsidRPr="001B3039">
              <w:t>.0382</w:t>
            </w:r>
          </w:p>
        </w:tc>
        <w:tc>
          <w:tcPr>
            <w:tcW w:w="1710" w:type="dxa"/>
            <w:shd w:val="clear" w:color="auto" w:fill="auto"/>
            <w:vAlign w:val="center"/>
          </w:tcPr>
          <w:p w14:paraId="0410A9E1" w14:textId="77777777" w:rsidR="001B3039" w:rsidRPr="001B3039" w:rsidRDefault="001B3039" w:rsidP="001B3039">
            <w:pPr>
              <w:spacing w:line="240" w:lineRule="atLeast"/>
              <w:jc w:val="center"/>
            </w:pPr>
            <w:r w:rsidRPr="001B3039">
              <w:t>.9618</w:t>
            </w:r>
          </w:p>
        </w:tc>
      </w:tr>
      <w:tr w:rsidR="001B3039" w:rsidRPr="001B3039" w14:paraId="54F912A7" w14:textId="77777777" w:rsidTr="0052238D">
        <w:trPr>
          <w:cantSplit/>
          <w:trHeight w:val="1637"/>
          <w:jc w:val="center"/>
        </w:trPr>
        <w:tc>
          <w:tcPr>
            <w:tcW w:w="3363" w:type="dxa"/>
            <w:gridSpan w:val="2"/>
            <w:shd w:val="clear" w:color="auto" w:fill="auto"/>
            <w:vAlign w:val="center"/>
          </w:tcPr>
          <w:p w14:paraId="7296CC32" w14:textId="77777777" w:rsidR="001B3039" w:rsidRPr="001B3039" w:rsidRDefault="001B3039" w:rsidP="001B3039">
            <w:pPr>
              <w:spacing w:line="240" w:lineRule="atLeast"/>
              <w:jc w:val="center"/>
              <w:rPr>
                <w:b/>
              </w:rPr>
            </w:pPr>
            <w:r w:rsidRPr="001B3039">
              <w:rPr>
                <w:b/>
              </w:rPr>
              <w:t>Description of Work</w:t>
            </w:r>
          </w:p>
          <w:p w14:paraId="1E2483AA" w14:textId="77777777" w:rsidR="001B3039" w:rsidRPr="001B3039" w:rsidRDefault="001B3039" w:rsidP="001B3039">
            <w:pPr>
              <w:spacing w:line="240" w:lineRule="atLeast"/>
              <w:jc w:val="center"/>
              <w:rPr>
                <w:b/>
              </w:rPr>
            </w:pPr>
          </w:p>
        </w:tc>
        <w:tc>
          <w:tcPr>
            <w:tcW w:w="2193" w:type="dxa"/>
            <w:gridSpan w:val="2"/>
            <w:shd w:val="clear" w:color="auto" w:fill="auto"/>
            <w:vAlign w:val="center"/>
          </w:tcPr>
          <w:p w14:paraId="79DBE101" w14:textId="77777777" w:rsidR="001B3039" w:rsidRPr="001B3039" w:rsidRDefault="001B3039" w:rsidP="001B3039">
            <w:pPr>
              <w:spacing w:line="240" w:lineRule="atLeast"/>
              <w:jc w:val="center"/>
              <w:rPr>
                <w:b/>
              </w:rPr>
            </w:pPr>
            <w:r w:rsidRPr="001B3039">
              <w:rPr>
                <w:b/>
              </w:rPr>
              <w:t>Cost Share</w:t>
            </w:r>
          </w:p>
          <w:p w14:paraId="0353D1D0" w14:textId="77777777" w:rsidR="001B3039" w:rsidRPr="001B3039" w:rsidRDefault="001B3039" w:rsidP="001B3039">
            <w:pPr>
              <w:spacing w:line="240" w:lineRule="atLeast"/>
              <w:jc w:val="center"/>
              <w:rPr>
                <w:b/>
              </w:rPr>
            </w:pPr>
            <w:r w:rsidRPr="001B3039">
              <w:rPr>
                <w:b/>
              </w:rPr>
              <w:t>Estimate For Both</w:t>
            </w:r>
          </w:p>
          <w:p w14:paraId="41A4C226" w14:textId="77777777" w:rsidR="001B3039" w:rsidRPr="001B3039" w:rsidRDefault="001B3039" w:rsidP="001B3039">
            <w:pPr>
              <w:spacing w:line="240" w:lineRule="atLeast"/>
              <w:jc w:val="center"/>
              <w:rPr>
                <w:b/>
              </w:rPr>
            </w:pPr>
            <w:r w:rsidRPr="001B3039">
              <w:rPr>
                <w:b/>
              </w:rPr>
              <w:t>Exchanges</w:t>
            </w:r>
          </w:p>
        </w:tc>
        <w:tc>
          <w:tcPr>
            <w:tcW w:w="1791" w:type="dxa"/>
            <w:shd w:val="clear" w:color="auto" w:fill="auto"/>
            <w:vAlign w:val="center"/>
          </w:tcPr>
          <w:p w14:paraId="68B8FE60" w14:textId="77777777" w:rsidR="001B3039" w:rsidRPr="001B3039" w:rsidRDefault="001B3039" w:rsidP="001B3039">
            <w:pPr>
              <w:spacing w:line="240" w:lineRule="atLeast"/>
              <w:jc w:val="center"/>
              <w:rPr>
                <w:b/>
              </w:rPr>
            </w:pPr>
            <w:r w:rsidRPr="001B3039">
              <w:rPr>
                <w:b/>
              </w:rPr>
              <w:t>Proportionate Share</w:t>
            </w:r>
          </w:p>
          <w:p w14:paraId="1C03A02A" w14:textId="77777777" w:rsidR="001B3039" w:rsidRPr="001B3039" w:rsidRDefault="001B3039" w:rsidP="001B3039">
            <w:pPr>
              <w:spacing w:line="240" w:lineRule="atLeast"/>
              <w:jc w:val="center"/>
              <w:rPr>
                <w:b/>
              </w:rPr>
            </w:pPr>
            <w:proofErr w:type="spellStart"/>
            <w:r w:rsidRPr="001B3039">
              <w:rPr>
                <w:b/>
              </w:rPr>
              <w:t>McGreer</w:t>
            </w:r>
            <w:proofErr w:type="spellEnd"/>
          </w:p>
          <w:p w14:paraId="52242554" w14:textId="77777777" w:rsidR="001B3039" w:rsidRPr="001B3039" w:rsidRDefault="001B3039" w:rsidP="001B3039">
            <w:pPr>
              <w:spacing w:line="240" w:lineRule="atLeast"/>
              <w:jc w:val="center"/>
              <w:rPr>
                <w:b/>
              </w:rPr>
            </w:pPr>
            <w:r w:rsidRPr="001B3039">
              <w:rPr>
                <w:b/>
              </w:rPr>
              <w:t>.0382</w:t>
            </w:r>
          </w:p>
        </w:tc>
        <w:tc>
          <w:tcPr>
            <w:tcW w:w="1710" w:type="dxa"/>
            <w:shd w:val="clear" w:color="auto" w:fill="auto"/>
            <w:vAlign w:val="center"/>
          </w:tcPr>
          <w:p w14:paraId="4FB8D896" w14:textId="77777777" w:rsidR="001B3039" w:rsidRPr="001B3039" w:rsidRDefault="001B3039" w:rsidP="001B3039">
            <w:pPr>
              <w:spacing w:line="240" w:lineRule="atLeast"/>
              <w:jc w:val="center"/>
              <w:rPr>
                <w:b/>
              </w:rPr>
            </w:pPr>
            <w:r w:rsidRPr="001B3039">
              <w:rPr>
                <w:b/>
              </w:rPr>
              <w:t>Proportionate Share</w:t>
            </w:r>
          </w:p>
          <w:p w14:paraId="0159E0DE" w14:textId="77777777" w:rsidR="001B3039" w:rsidRPr="001B3039" w:rsidRDefault="001B3039" w:rsidP="001B3039">
            <w:pPr>
              <w:spacing w:line="240" w:lineRule="atLeast"/>
              <w:jc w:val="center"/>
              <w:rPr>
                <w:b/>
              </w:rPr>
            </w:pPr>
            <w:r w:rsidRPr="001B3039">
              <w:rPr>
                <w:b/>
              </w:rPr>
              <w:t>CTWSRO</w:t>
            </w:r>
          </w:p>
          <w:p w14:paraId="7014471D" w14:textId="77777777" w:rsidR="001B3039" w:rsidRPr="001B3039" w:rsidRDefault="001B3039" w:rsidP="001B3039">
            <w:pPr>
              <w:spacing w:line="240" w:lineRule="atLeast"/>
              <w:jc w:val="center"/>
              <w:rPr>
                <w:b/>
              </w:rPr>
            </w:pPr>
            <w:r w:rsidRPr="001B3039">
              <w:rPr>
                <w:b/>
              </w:rPr>
              <w:t>.9618</w:t>
            </w:r>
          </w:p>
        </w:tc>
      </w:tr>
      <w:tr w:rsidR="001B3039" w:rsidRPr="001B3039" w14:paraId="6113AC48" w14:textId="77777777" w:rsidTr="0052238D">
        <w:trPr>
          <w:jc w:val="center"/>
        </w:trPr>
        <w:tc>
          <w:tcPr>
            <w:tcW w:w="3363" w:type="dxa"/>
            <w:gridSpan w:val="2"/>
            <w:shd w:val="clear" w:color="auto" w:fill="auto"/>
            <w:vAlign w:val="center"/>
          </w:tcPr>
          <w:p w14:paraId="724D846E" w14:textId="77777777" w:rsidR="001B3039" w:rsidRPr="001B3039" w:rsidRDefault="001B3039" w:rsidP="001B3039">
            <w:pPr>
              <w:spacing w:line="240" w:lineRule="atLeast"/>
              <w:jc w:val="center"/>
            </w:pPr>
            <w:r w:rsidRPr="001B3039">
              <w:t>NEPA Compliance</w:t>
            </w:r>
          </w:p>
          <w:p w14:paraId="22DE6227" w14:textId="77777777" w:rsidR="001B3039" w:rsidRPr="001B3039" w:rsidRDefault="001B3039" w:rsidP="001B3039">
            <w:pPr>
              <w:spacing w:line="240" w:lineRule="atLeast"/>
              <w:jc w:val="center"/>
            </w:pPr>
            <w:r w:rsidRPr="001B3039">
              <w:t>Cultural, Botanical, Wildlife, Threated &amp; Endangered Species</w:t>
            </w:r>
          </w:p>
          <w:p w14:paraId="4868451D" w14:textId="77777777" w:rsidR="001B3039" w:rsidRPr="001B3039" w:rsidRDefault="001B3039" w:rsidP="001B3039">
            <w:pPr>
              <w:spacing w:line="240" w:lineRule="atLeast"/>
              <w:jc w:val="center"/>
            </w:pPr>
            <w:r w:rsidRPr="001B3039">
              <w:t>Field Work - Report Writing</w:t>
            </w:r>
          </w:p>
        </w:tc>
        <w:tc>
          <w:tcPr>
            <w:tcW w:w="2193" w:type="dxa"/>
            <w:gridSpan w:val="2"/>
            <w:shd w:val="clear" w:color="auto" w:fill="auto"/>
            <w:vAlign w:val="center"/>
          </w:tcPr>
          <w:p w14:paraId="6330464B" w14:textId="77777777" w:rsidR="001B3039" w:rsidRPr="001B3039" w:rsidRDefault="001B3039" w:rsidP="001B3039">
            <w:pPr>
              <w:spacing w:line="240" w:lineRule="atLeast"/>
              <w:jc w:val="center"/>
            </w:pPr>
            <w:r w:rsidRPr="001B3039">
              <w:t>$50,000</w:t>
            </w:r>
          </w:p>
          <w:p w14:paraId="4E05A681" w14:textId="77777777" w:rsidR="001B3039" w:rsidRPr="001B3039" w:rsidRDefault="001B3039" w:rsidP="001B3039">
            <w:pPr>
              <w:spacing w:line="240" w:lineRule="atLeast"/>
              <w:jc w:val="center"/>
            </w:pPr>
            <w:r w:rsidRPr="001B3039">
              <w:t>Fed - $25,000</w:t>
            </w:r>
          </w:p>
          <w:p w14:paraId="49D174FC" w14:textId="77777777" w:rsidR="001B3039" w:rsidRPr="001B3039" w:rsidRDefault="001B3039" w:rsidP="001B3039">
            <w:pPr>
              <w:spacing w:line="240" w:lineRule="atLeast"/>
              <w:jc w:val="center"/>
            </w:pPr>
            <w:r w:rsidRPr="001B3039">
              <w:t>Non-Fed - $25,000</w:t>
            </w:r>
          </w:p>
        </w:tc>
        <w:tc>
          <w:tcPr>
            <w:tcW w:w="1791" w:type="dxa"/>
            <w:shd w:val="clear" w:color="auto" w:fill="auto"/>
            <w:vAlign w:val="center"/>
          </w:tcPr>
          <w:p w14:paraId="0DC99617" w14:textId="77777777" w:rsidR="002D5402" w:rsidRDefault="001B3039" w:rsidP="001B3039">
            <w:pPr>
              <w:spacing w:line="240" w:lineRule="atLeast"/>
              <w:jc w:val="center"/>
            </w:pPr>
            <w:r w:rsidRPr="001B3039">
              <w:t>$25,000 x</w:t>
            </w:r>
          </w:p>
          <w:p w14:paraId="0381C463" w14:textId="694494C0" w:rsidR="001B3039" w:rsidRPr="001B3039" w:rsidRDefault="001B3039" w:rsidP="001B3039">
            <w:pPr>
              <w:spacing w:line="240" w:lineRule="atLeast"/>
              <w:jc w:val="center"/>
            </w:pPr>
            <w:r w:rsidRPr="001B3039">
              <w:t xml:space="preserve">.0382 </w:t>
            </w:r>
          </w:p>
          <w:p w14:paraId="2457BF77" w14:textId="77777777" w:rsidR="001B3039" w:rsidRPr="001B3039" w:rsidRDefault="001B3039" w:rsidP="001B3039">
            <w:pPr>
              <w:spacing w:line="240" w:lineRule="atLeast"/>
              <w:jc w:val="center"/>
            </w:pPr>
            <w:r w:rsidRPr="001B3039">
              <w:t>= $955</w:t>
            </w:r>
          </w:p>
        </w:tc>
        <w:tc>
          <w:tcPr>
            <w:tcW w:w="1710" w:type="dxa"/>
            <w:shd w:val="clear" w:color="auto" w:fill="auto"/>
            <w:vAlign w:val="center"/>
          </w:tcPr>
          <w:p w14:paraId="5559063B" w14:textId="77777777" w:rsidR="001B3039" w:rsidRPr="001B3039" w:rsidRDefault="001B3039" w:rsidP="001B3039">
            <w:pPr>
              <w:spacing w:line="240" w:lineRule="atLeast"/>
              <w:jc w:val="center"/>
            </w:pPr>
            <w:r w:rsidRPr="001B3039">
              <w:t xml:space="preserve">$25,000 x .9618 </w:t>
            </w:r>
          </w:p>
          <w:p w14:paraId="5350E2A5" w14:textId="77777777" w:rsidR="001B3039" w:rsidRPr="001B3039" w:rsidRDefault="001B3039" w:rsidP="001B3039">
            <w:pPr>
              <w:spacing w:line="240" w:lineRule="atLeast"/>
              <w:jc w:val="center"/>
            </w:pPr>
            <w:r w:rsidRPr="001B3039">
              <w:t>= $24,045</w:t>
            </w:r>
          </w:p>
        </w:tc>
      </w:tr>
      <w:tr w:rsidR="001B3039" w:rsidRPr="001B3039" w14:paraId="7AE27B01" w14:textId="77777777" w:rsidTr="0052238D">
        <w:trPr>
          <w:jc w:val="center"/>
        </w:trPr>
        <w:tc>
          <w:tcPr>
            <w:tcW w:w="3363" w:type="dxa"/>
            <w:gridSpan w:val="2"/>
            <w:shd w:val="clear" w:color="auto" w:fill="auto"/>
            <w:vAlign w:val="center"/>
          </w:tcPr>
          <w:p w14:paraId="4AC525EA" w14:textId="77777777" w:rsidR="001B3039" w:rsidRPr="001B3039" w:rsidRDefault="001B3039" w:rsidP="001B3039">
            <w:pPr>
              <w:spacing w:line="240" w:lineRule="atLeast"/>
              <w:jc w:val="center"/>
            </w:pPr>
            <w:r w:rsidRPr="001B3039">
              <w:t>Environmental Site Assessment – ESA</w:t>
            </w:r>
          </w:p>
          <w:p w14:paraId="084C6118" w14:textId="77777777" w:rsidR="001B3039" w:rsidRPr="001B3039" w:rsidRDefault="001B3039" w:rsidP="001B3039">
            <w:pPr>
              <w:spacing w:line="240" w:lineRule="atLeast"/>
              <w:jc w:val="center"/>
            </w:pPr>
            <w:r w:rsidRPr="001B3039">
              <w:t xml:space="preserve">Pre-Acquisition Liability Survey - PALS </w:t>
            </w:r>
          </w:p>
          <w:p w14:paraId="75359C73" w14:textId="77777777" w:rsidR="001B3039" w:rsidRPr="001B3039" w:rsidRDefault="001B3039" w:rsidP="001B3039">
            <w:pPr>
              <w:spacing w:line="240" w:lineRule="atLeast"/>
              <w:jc w:val="center"/>
            </w:pPr>
            <w:r w:rsidRPr="001B3039">
              <w:t>(Hazardous Materials Reports)</w:t>
            </w:r>
          </w:p>
        </w:tc>
        <w:tc>
          <w:tcPr>
            <w:tcW w:w="2193" w:type="dxa"/>
            <w:gridSpan w:val="2"/>
            <w:shd w:val="clear" w:color="auto" w:fill="auto"/>
            <w:vAlign w:val="center"/>
          </w:tcPr>
          <w:p w14:paraId="24BFD39A" w14:textId="77777777" w:rsidR="001B3039" w:rsidRPr="001B3039" w:rsidRDefault="001B3039" w:rsidP="001B3039">
            <w:pPr>
              <w:spacing w:line="240" w:lineRule="atLeast"/>
              <w:jc w:val="center"/>
            </w:pPr>
            <w:r w:rsidRPr="001B3039">
              <w:t>$12,000</w:t>
            </w:r>
          </w:p>
          <w:p w14:paraId="6E257D1B" w14:textId="77777777" w:rsidR="001B3039" w:rsidRPr="001B3039" w:rsidRDefault="001B3039" w:rsidP="001B3039">
            <w:pPr>
              <w:spacing w:line="240" w:lineRule="atLeast"/>
              <w:jc w:val="center"/>
            </w:pPr>
            <w:r w:rsidRPr="001B3039">
              <w:t>Fed - $6,000</w:t>
            </w:r>
          </w:p>
          <w:p w14:paraId="2F3D5D8F" w14:textId="77777777" w:rsidR="001B3039" w:rsidRPr="001B3039" w:rsidRDefault="001B3039" w:rsidP="001B3039">
            <w:pPr>
              <w:spacing w:line="240" w:lineRule="atLeast"/>
              <w:jc w:val="center"/>
            </w:pPr>
            <w:r w:rsidRPr="001B3039">
              <w:t>Non-Fed - $6,000</w:t>
            </w:r>
          </w:p>
        </w:tc>
        <w:tc>
          <w:tcPr>
            <w:tcW w:w="1791" w:type="dxa"/>
            <w:shd w:val="clear" w:color="auto" w:fill="auto"/>
            <w:vAlign w:val="center"/>
          </w:tcPr>
          <w:p w14:paraId="603B0E64" w14:textId="77777777" w:rsidR="001B3039" w:rsidRPr="001B3039" w:rsidRDefault="001B3039" w:rsidP="001B3039">
            <w:pPr>
              <w:spacing w:line="240" w:lineRule="atLeast"/>
              <w:jc w:val="center"/>
            </w:pPr>
            <w:r w:rsidRPr="001B3039">
              <w:t xml:space="preserve">$6,000 x </w:t>
            </w:r>
          </w:p>
          <w:p w14:paraId="54A3EB31" w14:textId="77777777" w:rsidR="001B3039" w:rsidRPr="001B3039" w:rsidRDefault="001B3039" w:rsidP="001B3039">
            <w:pPr>
              <w:spacing w:line="240" w:lineRule="atLeast"/>
              <w:jc w:val="center"/>
            </w:pPr>
            <w:r w:rsidRPr="001B3039">
              <w:t>.0382</w:t>
            </w:r>
          </w:p>
          <w:p w14:paraId="2F82A0FA" w14:textId="77777777" w:rsidR="001B3039" w:rsidRPr="001B3039" w:rsidRDefault="001B3039" w:rsidP="001B3039">
            <w:pPr>
              <w:spacing w:line="240" w:lineRule="atLeast"/>
              <w:jc w:val="center"/>
            </w:pPr>
            <w:r w:rsidRPr="001B3039">
              <w:t xml:space="preserve"> = $230</w:t>
            </w:r>
          </w:p>
        </w:tc>
        <w:tc>
          <w:tcPr>
            <w:tcW w:w="1710" w:type="dxa"/>
            <w:shd w:val="clear" w:color="auto" w:fill="auto"/>
            <w:vAlign w:val="center"/>
          </w:tcPr>
          <w:p w14:paraId="070B89A8" w14:textId="77777777" w:rsidR="002D5402" w:rsidRDefault="001B3039" w:rsidP="001B3039">
            <w:pPr>
              <w:spacing w:line="240" w:lineRule="atLeast"/>
              <w:jc w:val="center"/>
            </w:pPr>
            <w:r w:rsidRPr="001B3039">
              <w:t>$6,000 x</w:t>
            </w:r>
          </w:p>
          <w:p w14:paraId="4166590F" w14:textId="5AAF59E3" w:rsidR="001B3039" w:rsidRPr="001B3039" w:rsidRDefault="001B3039" w:rsidP="001B3039">
            <w:pPr>
              <w:spacing w:line="240" w:lineRule="atLeast"/>
              <w:jc w:val="center"/>
            </w:pPr>
            <w:r w:rsidRPr="001B3039">
              <w:t>.9618</w:t>
            </w:r>
          </w:p>
          <w:p w14:paraId="0E735DCF" w14:textId="77777777" w:rsidR="001B3039" w:rsidRPr="001B3039" w:rsidRDefault="001B3039" w:rsidP="001B3039">
            <w:pPr>
              <w:spacing w:line="240" w:lineRule="atLeast"/>
              <w:jc w:val="center"/>
            </w:pPr>
            <w:r w:rsidRPr="001B3039">
              <w:t xml:space="preserve"> = $5,771</w:t>
            </w:r>
          </w:p>
        </w:tc>
      </w:tr>
      <w:tr w:rsidR="001B3039" w:rsidRPr="001B3039" w14:paraId="0D057A1C" w14:textId="77777777" w:rsidTr="0052238D">
        <w:trPr>
          <w:jc w:val="center"/>
        </w:trPr>
        <w:tc>
          <w:tcPr>
            <w:tcW w:w="3363" w:type="dxa"/>
            <w:gridSpan w:val="2"/>
            <w:shd w:val="clear" w:color="auto" w:fill="auto"/>
            <w:vAlign w:val="center"/>
          </w:tcPr>
          <w:p w14:paraId="5D95C707" w14:textId="77777777" w:rsidR="001B3039" w:rsidRPr="001B3039" w:rsidRDefault="001B3039" w:rsidP="001B3039">
            <w:pPr>
              <w:spacing w:line="240" w:lineRule="atLeast"/>
              <w:jc w:val="center"/>
            </w:pPr>
          </w:p>
          <w:p w14:paraId="56014683" w14:textId="77777777" w:rsidR="001B3039" w:rsidRPr="001B3039" w:rsidRDefault="001B3039" w:rsidP="001B3039">
            <w:pPr>
              <w:spacing w:line="240" w:lineRule="atLeast"/>
              <w:jc w:val="center"/>
            </w:pPr>
            <w:r w:rsidRPr="001B3039">
              <w:t>Mineral</w:t>
            </w:r>
          </w:p>
          <w:p w14:paraId="09FAE9CF" w14:textId="279FD133" w:rsidR="001B3039" w:rsidRPr="001B3039" w:rsidRDefault="001B3039" w:rsidP="001B3039">
            <w:pPr>
              <w:spacing w:line="240" w:lineRule="atLeast"/>
              <w:jc w:val="center"/>
            </w:pPr>
            <w:r w:rsidRPr="001B3039">
              <w:t>Report</w:t>
            </w:r>
            <w:r w:rsidR="002E4D23">
              <w:t>s</w:t>
            </w:r>
          </w:p>
          <w:p w14:paraId="79E851FC" w14:textId="77777777" w:rsidR="001B3039" w:rsidRPr="001B3039" w:rsidRDefault="001B3039" w:rsidP="001B3039">
            <w:pPr>
              <w:spacing w:line="240" w:lineRule="atLeast"/>
              <w:jc w:val="center"/>
            </w:pPr>
          </w:p>
        </w:tc>
        <w:tc>
          <w:tcPr>
            <w:tcW w:w="2193" w:type="dxa"/>
            <w:gridSpan w:val="2"/>
            <w:shd w:val="clear" w:color="auto" w:fill="auto"/>
            <w:vAlign w:val="center"/>
          </w:tcPr>
          <w:p w14:paraId="609E1BB1" w14:textId="77777777" w:rsidR="001B3039" w:rsidRPr="001B3039" w:rsidRDefault="001B3039" w:rsidP="001B3039">
            <w:pPr>
              <w:spacing w:line="240" w:lineRule="atLeast"/>
              <w:jc w:val="center"/>
            </w:pPr>
            <w:r w:rsidRPr="001B3039">
              <w:t>$11,000</w:t>
            </w:r>
          </w:p>
          <w:p w14:paraId="2C994BEA" w14:textId="77777777" w:rsidR="001B3039" w:rsidRPr="001B3039" w:rsidRDefault="001B3039" w:rsidP="001B3039">
            <w:pPr>
              <w:spacing w:line="240" w:lineRule="atLeast"/>
              <w:jc w:val="center"/>
            </w:pPr>
            <w:r w:rsidRPr="001B3039">
              <w:t>Fed - $5,500</w:t>
            </w:r>
          </w:p>
          <w:p w14:paraId="10021818" w14:textId="77777777" w:rsidR="001B3039" w:rsidRPr="001B3039" w:rsidRDefault="001B3039" w:rsidP="001B3039">
            <w:pPr>
              <w:spacing w:line="240" w:lineRule="atLeast"/>
              <w:jc w:val="center"/>
            </w:pPr>
            <w:r w:rsidRPr="001B3039">
              <w:t>Non-Fed - $5,500</w:t>
            </w:r>
          </w:p>
        </w:tc>
        <w:tc>
          <w:tcPr>
            <w:tcW w:w="1791" w:type="dxa"/>
            <w:shd w:val="clear" w:color="auto" w:fill="auto"/>
            <w:vAlign w:val="center"/>
          </w:tcPr>
          <w:p w14:paraId="3B62FA28" w14:textId="77777777" w:rsidR="001B3039" w:rsidRPr="001B3039" w:rsidRDefault="001B3039" w:rsidP="001B3039">
            <w:pPr>
              <w:spacing w:line="240" w:lineRule="atLeast"/>
              <w:jc w:val="center"/>
            </w:pPr>
            <w:r w:rsidRPr="001B3039">
              <w:t xml:space="preserve">$5,500 x </w:t>
            </w:r>
          </w:p>
          <w:p w14:paraId="5F23952A" w14:textId="77777777" w:rsidR="001B3039" w:rsidRPr="001B3039" w:rsidRDefault="001B3039" w:rsidP="001B3039">
            <w:pPr>
              <w:spacing w:line="240" w:lineRule="atLeast"/>
              <w:jc w:val="center"/>
            </w:pPr>
            <w:r w:rsidRPr="001B3039">
              <w:t>.0382</w:t>
            </w:r>
          </w:p>
          <w:p w14:paraId="731E54C8" w14:textId="77777777" w:rsidR="001B3039" w:rsidRPr="001B3039" w:rsidRDefault="001B3039" w:rsidP="001B3039">
            <w:pPr>
              <w:spacing w:line="240" w:lineRule="atLeast"/>
              <w:jc w:val="center"/>
            </w:pPr>
            <w:r w:rsidRPr="001B3039">
              <w:t xml:space="preserve"> = $210</w:t>
            </w:r>
          </w:p>
        </w:tc>
        <w:tc>
          <w:tcPr>
            <w:tcW w:w="1710" w:type="dxa"/>
            <w:shd w:val="clear" w:color="auto" w:fill="auto"/>
            <w:vAlign w:val="center"/>
          </w:tcPr>
          <w:p w14:paraId="6DA76567" w14:textId="77777777" w:rsidR="001B3039" w:rsidRPr="001B3039" w:rsidRDefault="001B3039" w:rsidP="001B3039">
            <w:pPr>
              <w:spacing w:line="240" w:lineRule="atLeast"/>
              <w:jc w:val="center"/>
            </w:pPr>
          </w:p>
          <w:p w14:paraId="14184C8F" w14:textId="77777777" w:rsidR="002D5402" w:rsidRDefault="001B3039" w:rsidP="001B3039">
            <w:pPr>
              <w:spacing w:line="240" w:lineRule="atLeast"/>
              <w:jc w:val="center"/>
            </w:pPr>
            <w:r w:rsidRPr="001B3039">
              <w:t>$5,500 x</w:t>
            </w:r>
          </w:p>
          <w:p w14:paraId="49EA1E39" w14:textId="7298D044" w:rsidR="001B3039" w:rsidRPr="001B3039" w:rsidRDefault="001B3039" w:rsidP="001B3039">
            <w:pPr>
              <w:spacing w:line="240" w:lineRule="atLeast"/>
              <w:jc w:val="center"/>
            </w:pPr>
            <w:r w:rsidRPr="001B3039">
              <w:t>.9618</w:t>
            </w:r>
          </w:p>
          <w:p w14:paraId="359649A6" w14:textId="77777777" w:rsidR="001B3039" w:rsidRPr="001B3039" w:rsidRDefault="001B3039" w:rsidP="001B3039">
            <w:pPr>
              <w:spacing w:line="240" w:lineRule="atLeast"/>
              <w:jc w:val="center"/>
            </w:pPr>
            <w:r w:rsidRPr="001B3039">
              <w:t xml:space="preserve"> = $5,290</w:t>
            </w:r>
          </w:p>
          <w:p w14:paraId="61943015" w14:textId="77777777" w:rsidR="001B3039" w:rsidRPr="001B3039" w:rsidRDefault="001B3039" w:rsidP="001B3039">
            <w:pPr>
              <w:spacing w:line="240" w:lineRule="atLeast"/>
              <w:jc w:val="center"/>
            </w:pPr>
          </w:p>
        </w:tc>
      </w:tr>
      <w:tr w:rsidR="0052238D" w:rsidRPr="001B3039" w14:paraId="530221BB" w14:textId="77777777" w:rsidTr="0052238D">
        <w:trPr>
          <w:jc w:val="center"/>
        </w:trPr>
        <w:tc>
          <w:tcPr>
            <w:tcW w:w="9057" w:type="dxa"/>
            <w:gridSpan w:val="6"/>
            <w:shd w:val="clear" w:color="auto" w:fill="auto"/>
            <w:vAlign w:val="center"/>
          </w:tcPr>
          <w:p w14:paraId="530A739D" w14:textId="77777777" w:rsidR="0052238D" w:rsidRPr="001B3039" w:rsidRDefault="0052238D" w:rsidP="001B3039">
            <w:pPr>
              <w:spacing w:line="240" w:lineRule="atLeast"/>
              <w:jc w:val="center"/>
            </w:pPr>
          </w:p>
        </w:tc>
      </w:tr>
      <w:tr w:rsidR="0052238D" w:rsidRPr="001B3039" w14:paraId="06B22571" w14:textId="77777777" w:rsidTr="0052238D">
        <w:trPr>
          <w:jc w:val="center"/>
        </w:trPr>
        <w:tc>
          <w:tcPr>
            <w:tcW w:w="5556" w:type="dxa"/>
            <w:gridSpan w:val="4"/>
            <w:shd w:val="clear" w:color="auto" w:fill="auto"/>
            <w:vAlign w:val="center"/>
          </w:tcPr>
          <w:p w14:paraId="522C4053" w14:textId="77777777" w:rsidR="0052238D" w:rsidRPr="001B3039" w:rsidRDefault="0052238D" w:rsidP="001B3039">
            <w:pPr>
              <w:spacing w:line="240" w:lineRule="atLeast"/>
              <w:jc w:val="center"/>
            </w:pPr>
          </w:p>
        </w:tc>
        <w:tc>
          <w:tcPr>
            <w:tcW w:w="1791" w:type="dxa"/>
            <w:shd w:val="clear" w:color="auto" w:fill="auto"/>
            <w:vAlign w:val="center"/>
          </w:tcPr>
          <w:p w14:paraId="06AC98FB" w14:textId="7312F5CF" w:rsidR="0052238D" w:rsidRPr="001B3039" w:rsidRDefault="0052238D" w:rsidP="001B3039">
            <w:pPr>
              <w:spacing w:line="240" w:lineRule="atLeast"/>
              <w:jc w:val="center"/>
            </w:pPr>
            <w:proofErr w:type="spellStart"/>
            <w:r w:rsidRPr="001B3039">
              <w:rPr>
                <w:b/>
              </w:rPr>
              <w:t>McGreer</w:t>
            </w:r>
            <w:proofErr w:type="spellEnd"/>
          </w:p>
        </w:tc>
        <w:tc>
          <w:tcPr>
            <w:tcW w:w="1710" w:type="dxa"/>
            <w:shd w:val="clear" w:color="auto" w:fill="auto"/>
            <w:vAlign w:val="center"/>
          </w:tcPr>
          <w:p w14:paraId="26758D15" w14:textId="396D08CD" w:rsidR="0052238D" w:rsidRPr="0052238D" w:rsidRDefault="0052238D" w:rsidP="001B3039">
            <w:pPr>
              <w:spacing w:line="240" w:lineRule="atLeast"/>
              <w:jc w:val="center"/>
              <w:rPr>
                <w:b/>
              </w:rPr>
            </w:pPr>
            <w:r w:rsidRPr="0052238D">
              <w:rPr>
                <w:b/>
              </w:rPr>
              <w:t>CTWSRO</w:t>
            </w:r>
          </w:p>
        </w:tc>
      </w:tr>
      <w:tr w:rsidR="0052238D" w:rsidRPr="001B3039" w14:paraId="2AD5E68B" w14:textId="77777777" w:rsidTr="0052238D">
        <w:trPr>
          <w:jc w:val="center"/>
        </w:trPr>
        <w:tc>
          <w:tcPr>
            <w:tcW w:w="5556" w:type="dxa"/>
            <w:gridSpan w:val="4"/>
            <w:shd w:val="clear" w:color="auto" w:fill="auto"/>
            <w:vAlign w:val="center"/>
          </w:tcPr>
          <w:p w14:paraId="3D2BBE39" w14:textId="77777777" w:rsidR="0052238D" w:rsidRPr="001B3039" w:rsidRDefault="0052238D" w:rsidP="0052238D">
            <w:pPr>
              <w:spacing w:line="240" w:lineRule="atLeast"/>
              <w:jc w:val="center"/>
            </w:pPr>
            <w:r w:rsidRPr="001B3039">
              <w:t xml:space="preserve">Total Share of NEPA, ESA, and </w:t>
            </w:r>
          </w:p>
          <w:p w14:paraId="7C29B4EE" w14:textId="522D71BD" w:rsidR="0052238D" w:rsidRPr="001B3039" w:rsidRDefault="0052238D" w:rsidP="0052238D">
            <w:pPr>
              <w:spacing w:line="240" w:lineRule="atLeast"/>
              <w:jc w:val="center"/>
            </w:pPr>
            <w:r w:rsidRPr="001B3039">
              <w:t>Mineral Report Costs</w:t>
            </w:r>
          </w:p>
        </w:tc>
        <w:tc>
          <w:tcPr>
            <w:tcW w:w="1791" w:type="dxa"/>
            <w:shd w:val="clear" w:color="auto" w:fill="auto"/>
            <w:vAlign w:val="center"/>
          </w:tcPr>
          <w:p w14:paraId="49475FCF" w14:textId="77777777" w:rsidR="0052238D" w:rsidRPr="0052238D" w:rsidRDefault="0052238D" w:rsidP="0052238D">
            <w:pPr>
              <w:spacing w:line="240" w:lineRule="atLeast"/>
              <w:jc w:val="center"/>
            </w:pPr>
            <w:r w:rsidRPr="0052238D">
              <w:t>$1,395</w:t>
            </w:r>
          </w:p>
          <w:p w14:paraId="06FFC5F0" w14:textId="77777777" w:rsidR="0052238D" w:rsidRDefault="0052238D" w:rsidP="0052238D">
            <w:pPr>
              <w:spacing w:line="240" w:lineRule="atLeast"/>
              <w:jc w:val="center"/>
            </w:pPr>
            <w:r w:rsidRPr="0052238D">
              <w:t xml:space="preserve">$1,440 </w:t>
            </w:r>
          </w:p>
          <w:p w14:paraId="670F1C26" w14:textId="1D593A8B" w:rsidR="0052238D" w:rsidRPr="001B3039" w:rsidRDefault="0052238D" w:rsidP="0052238D">
            <w:pPr>
              <w:spacing w:line="240" w:lineRule="atLeast"/>
              <w:jc w:val="center"/>
            </w:pPr>
            <w:r w:rsidRPr="0052238D">
              <w:t>rounded</w:t>
            </w:r>
          </w:p>
        </w:tc>
        <w:tc>
          <w:tcPr>
            <w:tcW w:w="1710" w:type="dxa"/>
            <w:shd w:val="clear" w:color="auto" w:fill="auto"/>
            <w:vAlign w:val="center"/>
          </w:tcPr>
          <w:p w14:paraId="1A0DF6BF" w14:textId="77777777" w:rsidR="0052238D" w:rsidRDefault="0052238D" w:rsidP="001B3039">
            <w:pPr>
              <w:spacing w:line="240" w:lineRule="atLeast"/>
              <w:jc w:val="center"/>
            </w:pPr>
            <w:r>
              <w:t>$35,106</w:t>
            </w:r>
          </w:p>
          <w:p w14:paraId="49B7CA3A" w14:textId="6869C608" w:rsidR="0052238D" w:rsidRPr="001B3039" w:rsidRDefault="0052238D" w:rsidP="001B3039">
            <w:pPr>
              <w:spacing w:line="240" w:lineRule="atLeast"/>
              <w:jc w:val="center"/>
            </w:pPr>
            <w:r>
              <w:t>35,100 rounded</w:t>
            </w:r>
          </w:p>
        </w:tc>
      </w:tr>
    </w:tbl>
    <w:p w14:paraId="327215F8" w14:textId="77777777" w:rsidR="00047EF6" w:rsidRDefault="00047EF6"/>
    <w:p w14:paraId="5FB08FF9" w14:textId="77777777" w:rsidR="00512DE0" w:rsidRDefault="00512DE0">
      <w:pPr>
        <w:rPr>
          <w:b/>
        </w:rPr>
      </w:pPr>
      <w:r>
        <w:rPr>
          <w:b/>
        </w:rPr>
        <w:br w:type="page"/>
      </w:r>
    </w:p>
    <w:p w14:paraId="327215F9" w14:textId="210BE082" w:rsidR="009C564C" w:rsidRPr="004B0C22" w:rsidRDefault="004B0C22">
      <w:pPr>
        <w:rPr>
          <w:b/>
        </w:rPr>
      </w:pPr>
      <w:r w:rsidRPr="004B0C22">
        <w:rPr>
          <w:b/>
        </w:rPr>
        <w:lastRenderedPageBreak/>
        <w:t>9.1</w:t>
      </w:r>
      <w:r w:rsidRPr="004B0C22">
        <w:rPr>
          <w:b/>
        </w:rPr>
        <w:tab/>
        <w:t>Responsibilities and Estimated Costs</w:t>
      </w:r>
    </w:p>
    <w:p w14:paraId="327215FA" w14:textId="77777777" w:rsidR="009C564C" w:rsidRDefault="009C564C"/>
    <w:p w14:paraId="327215FB" w14:textId="77777777" w:rsidR="009C564C" w:rsidRDefault="009C564C"/>
    <w:tbl>
      <w:tblPr>
        <w:tblW w:w="9469" w:type="dxa"/>
        <w:jc w:val="center"/>
        <w:tblInd w:w="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26"/>
        <w:gridCol w:w="1768"/>
        <w:gridCol w:w="2055"/>
        <w:gridCol w:w="2320"/>
      </w:tblGrid>
      <w:tr w:rsidR="0086204A" w:rsidRPr="00261071" w14:paraId="32721602" w14:textId="77777777" w:rsidTr="00B46DE0">
        <w:trPr>
          <w:cantSplit/>
          <w:tblHeader/>
          <w:jc w:val="center"/>
        </w:trPr>
        <w:tc>
          <w:tcPr>
            <w:tcW w:w="3326" w:type="dxa"/>
            <w:vAlign w:val="center"/>
          </w:tcPr>
          <w:p w14:paraId="327215FC" w14:textId="77777777" w:rsidR="0086204A" w:rsidRDefault="0086204A" w:rsidP="0086204A">
            <w:pPr>
              <w:jc w:val="center"/>
              <w:rPr>
                <w:b/>
                <w:bCs/>
              </w:rPr>
            </w:pPr>
          </w:p>
          <w:p w14:paraId="327215FD" w14:textId="77777777" w:rsidR="0086204A" w:rsidRDefault="0086204A" w:rsidP="0086204A">
            <w:pPr>
              <w:jc w:val="center"/>
              <w:rPr>
                <w:b/>
                <w:bCs/>
              </w:rPr>
            </w:pPr>
            <w:r w:rsidRPr="00261071">
              <w:rPr>
                <w:b/>
                <w:bCs/>
              </w:rPr>
              <w:t>Description of Work</w:t>
            </w:r>
          </w:p>
          <w:p w14:paraId="327215FE" w14:textId="77777777" w:rsidR="0086204A" w:rsidRPr="00261071" w:rsidRDefault="0086204A" w:rsidP="0086204A">
            <w:pPr>
              <w:jc w:val="center"/>
              <w:rPr>
                <w:b/>
                <w:bCs/>
              </w:rPr>
            </w:pPr>
          </w:p>
        </w:tc>
        <w:tc>
          <w:tcPr>
            <w:tcW w:w="1768" w:type="dxa"/>
            <w:vAlign w:val="center"/>
          </w:tcPr>
          <w:p w14:paraId="327215FF" w14:textId="77777777" w:rsidR="00E1306C" w:rsidRDefault="00E1306C" w:rsidP="0086204A">
            <w:pPr>
              <w:jc w:val="center"/>
              <w:rPr>
                <w:b/>
                <w:bCs/>
              </w:rPr>
            </w:pPr>
            <w:r>
              <w:rPr>
                <w:b/>
                <w:bCs/>
              </w:rPr>
              <w:t>Total</w:t>
            </w:r>
          </w:p>
          <w:p w14:paraId="32721600" w14:textId="77777777" w:rsidR="0086204A" w:rsidRPr="00261071" w:rsidRDefault="0086204A" w:rsidP="0086204A">
            <w:pPr>
              <w:jc w:val="center"/>
              <w:rPr>
                <w:b/>
                <w:bCs/>
              </w:rPr>
            </w:pPr>
            <w:r w:rsidRPr="00261071">
              <w:rPr>
                <w:b/>
                <w:bCs/>
              </w:rPr>
              <w:t>Cost Estimate</w:t>
            </w:r>
          </w:p>
        </w:tc>
        <w:tc>
          <w:tcPr>
            <w:tcW w:w="4375" w:type="dxa"/>
            <w:gridSpan w:val="2"/>
            <w:vAlign w:val="center"/>
          </w:tcPr>
          <w:p w14:paraId="32721601" w14:textId="77777777" w:rsidR="0086204A" w:rsidRPr="00261071" w:rsidRDefault="0086204A" w:rsidP="0086204A">
            <w:pPr>
              <w:jc w:val="center"/>
              <w:rPr>
                <w:b/>
                <w:bCs/>
              </w:rPr>
            </w:pPr>
            <w:r w:rsidRPr="00261071">
              <w:rPr>
                <w:b/>
                <w:bCs/>
              </w:rPr>
              <w:t>Cost Sharing Estimates</w:t>
            </w:r>
          </w:p>
        </w:tc>
      </w:tr>
      <w:tr w:rsidR="0086204A" w:rsidRPr="00261071" w14:paraId="32721607" w14:textId="77777777" w:rsidTr="00B46DE0">
        <w:trPr>
          <w:cantSplit/>
          <w:tblHeader/>
          <w:jc w:val="center"/>
        </w:trPr>
        <w:tc>
          <w:tcPr>
            <w:tcW w:w="3326" w:type="dxa"/>
            <w:vAlign w:val="center"/>
          </w:tcPr>
          <w:p w14:paraId="32721603" w14:textId="77777777" w:rsidR="0086204A" w:rsidRPr="00261071" w:rsidRDefault="0086204A" w:rsidP="0086204A">
            <w:pPr>
              <w:jc w:val="center"/>
              <w:rPr>
                <w:sz w:val="22"/>
                <w:szCs w:val="22"/>
              </w:rPr>
            </w:pPr>
          </w:p>
        </w:tc>
        <w:tc>
          <w:tcPr>
            <w:tcW w:w="1768" w:type="dxa"/>
            <w:vAlign w:val="center"/>
          </w:tcPr>
          <w:p w14:paraId="32721604" w14:textId="77777777" w:rsidR="0086204A" w:rsidRPr="00261071" w:rsidRDefault="0086204A" w:rsidP="0086204A">
            <w:pPr>
              <w:jc w:val="center"/>
              <w:rPr>
                <w:sz w:val="22"/>
                <w:szCs w:val="22"/>
              </w:rPr>
            </w:pPr>
          </w:p>
        </w:tc>
        <w:tc>
          <w:tcPr>
            <w:tcW w:w="2055" w:type="dxa"/>
            <w:vAlign w:val="center"/>
          </w:tcPr>
          <w:p w14:paraId="32721605" w14:textId="77777777" w:rsidR="0086204A" w:rsidRPr="00261071" w:rsidRDefault="0086204A" w:rsidP="0086204A">
            <w:pPr>
              <w:jc w:val="center"/>
              <w:rPr>
                <w:b/>
                <w:bCs/>
                <w:sz w:val="22"/>
                <w:szCs w:val="22"/>
              </w:rPr>
            </w:pPr>
            <w:r w:rsidRPr="00261071">
              <w:rPr>
                <w:b/>
                <w:bCs/>
                <w:sz w:val="22"/>
                <w:szCs w:val="22"/>
              </w:rPr>
              <w:t>BLM</w:t>
            </w:r>
          </w:p>
        </w:tc>
        <w:tc>
          <w:tcPr>
            <w:tcW w:w="2320" w:type="dxa"/>
            <w:vAlign w:val="center"/>
          </w:tcPr>
          <w:p w14:paraId="32721606" w14:textId="36AB2314" w:rsidR="0086204A" w:rsidRPr="00261071" w:rsidRDefault="001A1C65" w:rsidP="0086204A">
            <w:pPr>
              <w:jc w:val="center"/>
              <w:rPr>
                <w:b/>
                <w:bCs/>
                <w:sz w:val="22"/>
                <w:szCs w:val="22"/>
              </w:rPr>
            </w:pPr>
            <w:proofErr w:type="spellStart"/>
            <w:r>
              <w:rPr>
                <w:b/>
                <w:bCs/>
                <w:sz w:val="22"/>
                <w:szCs w:val="22"/>
              </w:rPr>
              <w:t>McGreer</w:t>
            </w:r>
            <w:proofErr w:type="spellEnd"/>
          </w:p>
        </w:tc>
      </w:tr>
      <w:tr w:rsidR="0086204A" w:rsidRPr="00261071" w14:paraId="3272160E" w14:textId="77777777" w:rsidTr="00B46DE0">
        <w:trPr>
          <w:jc w:val="center"/>
        </w:trPr>
        <w:tc>
          <w:tcPr>
            <w:tcW w:w="3326" w:type="dxa"/>
            <w:vAlign w:val="center"/>
          </w:tcPr>
          <w:p w14:paraId="32721608" w14:textId="77777777" w:rsidR="0086204A" w:rsidRPr="00E67573" w:rsidRDefault="0086204A" w:rsidP="0086204A">
            <w:pPr>
              <w:jc w:val="center"/>
            </w:pPr>
            <w:r w:rsidRPr="00E67573">
              <w:t>Cadastral Survey</w:t>
            </w:r>
          </w:p>
          <w:p w14:paraId="32721609" w14:textId="77777777" w:rsidR="0086204A" w:rsidRDefault="0086204A" w:rsidP="0086204A">
            <w:pPr>
              <w:jc w:val="center"/>
            </w:pPr>
            <w:r w:rsidRPr="00E67573">
              <w:t>Dependent Resurvey</w:t>
            </w:r>
          </w:p>
          <w:p w14:paraId="3272160A" w14:textId="77777777" w:rsidR="00E37D20" w:rsidRPr="00E67573" w:rsidRDefault="00E37D20" w:rsidP="0086204A">
            <w:pPr>
              <w:jc w:val="center"/>
            </w:pPr>
            <w:r>
              <w:t>Land Description Review</w:t>
            </w:r>
          </w:p>
        </w:tc>
        <w:tc>
          <w:tcPr>
            <w:tcW w:w="1768" w:type="dxa"/>
            <w:vAlign w:val="center"/>
          </w:tcPr>
          <w:p w14:paraId="3272160B" w14:textId="77777777" w:rsidR="0086204A" w:rsidRPr="00E67573" w:rsidRDefault="0086204A" w:rsidP="0086204A">
            <w:pPr>
              <w:jc w:val="center"/>
            </w:pPr>
            <w:r w:rsidRPr="00E67573">
              <w:t>$11,800</w:t>
            </w:r>
          </w:p>
        </w:tc>
        <w:tc>
          <w:tcPr>
            <w:tcW w:w="2055" w:type="dxa"/>
            <w:vAlign w:val="center"/>
          </w:tcPr>
          <w:p w14:paraId="3272160C" w14:textId="77777777" w:rsidR="0086204A" w:rsidRPr="00E67573" w:rsidRDefault="0086204A" w:rsidP="0086204A">
            <w:pPr>
              <w:jc w:val="center"/>
            </w:pPr>
            <w:r w:rsidRPr="00E67573">
              <w:t>$</w:t>
            </w:r>
            <w:r w:rsidR="00536720">
              <w:t>5,900</w:t>
            </w:r>
          </w:p>
        </w:tc>
        <w:tc>
          <w:tcPr>
            <w:tcW w:w="2320" w:type="dxa"/>
            <w:vAlign w:val="center"/>
          </w:tcPr>
          <w:p w14:paraId="3272160D" w14:textId="77777777" w:rsidR="0086204A" w:rsidRPr="00E67573" w:rsidRDefault="00536720" w:rsidP="0086204A">
            <w:pPr>
              <w:jc w:val="center"/>
            </w:pPr>
            <w:r>
              <w:t>$5,900</w:t>
            </w:r>
          </w:p>
        </w:tc>
      </w:tr>
      <w:tr w:rsidR="0086204A" w:rsidRPr="00261071" w14:paraId="32721613" w14:textId="77777777" w:rsidTr="00B46DE0">
        <w:trPr>
          <w:jc w:val="center"/>
        </w:trPr>
        <w:tc>
          <w:tcPr>
            <w:tcW w:w="3326" w:type="dxa"/>
            <w:vAlign w:val="center"/>
          </w:tcPr>
          <w:p w14:paraId="3272160F" w14:textId="77777777" w:rsidR="0086204A" w:rsidRPr="00E67573" w:rsidRDefault="0086204A" w:rsidP="00BE58BD">
            <w:pPr>
              <w:jc w:val="center"/>
            </w:pPr>
            <w:r w:rsidRPr="00E67573">
              <w:t>Mineral</w:t>
            </w:r>
            <w:r w:rsidR="00BE58BD">
              <w:t xml:space="preserve"> </w:t>
            </w:r>
            <w:r w:rsidRPr="00E67573">
              <w:t xml:space="preserve"> Report</w:t>
            </w:r>
          </w:p>
        </w:tc>
        <w:tc>
          <w:tcPr>
            <w:tcW w:w="1768" w:type="dxa"/>
            <w:vAlign w:val="center"/>
          </w:tcPr>
          <w:p w14:paraId="32721610" w14:textId="1F5C59C8" w:rsidR="0086204A" w:rsidRPr="00E67573" w:rsidRDefault="0086204A" w:rsidP="0086204A">
            <w:pPr>
              <w:jc w:val="center"/>
            </w:pPr>
            <w:r w:rsidRPr="00E67573">
              <w:t>$</w:t>
            </w:r>
            <w:r w:rsidR="008A5B90">
              <w:t>420</w:t>
            </w:r>
          </w:p>
        </w:tc>
        <w:tc>
          <w:tcPr>
            <w:tcW w:w="2055" w:type="dxa"/>
            <w:vAlign w:val="center"/>
          </w:tcPr>
          <w:p w14:paraId="32721611" w14:textId="34ED11EB" w:rsidR="0086204A" w:rsidRPr="00E67573" w:rsidRDefault="0086204A" w:rsidP="0086204A">
            <w:pPr>
              <w:jc w:val="center"/>
            </w:pPr>
            <w:r w:rsidRPr="00E67573">
              <w:t>$</w:t>
            </w:r>
            <w:r w:rsidR="008A5B90">
              <w:t>210</w:t>
            </w:r>
          </w:p>
        </w:tc>
        <w:tc>
          <w:tcPr>
            <w:tcW w:w="2320" w:type="dxa"/>
            <w:vAlign w:val="center"/>
          </w:tcPr>
          <w:p w14:paraId="32721612" w14:textId="05D52A0F" w:rsidR="0086204A" w:rsidRPr="00E67573" w:rsidRDefault="008A5B90" w:rsidP="0086204A">
            <w:pPr>
              <w:jc w:val="center"/>
            </w:pPr>
            <w:r>
              <w:t>$210</w:t>
            </w:r>
          </w:p>
        </w:tc>
      </w:tr>
      <w:tr w:rsidR="0086204A" w:rsidRPr="00261071" w14:paraId="32721619" w14:textId="77777777" w:rsidTr="00B46DE0">
        <w:trPr>
          <w:jc w:val="center"/>
        </w:trPr>
        <w:tc>
          <w:tcPr>
            <w:tcW w:w="3326" w:type="dxa"/>
            <w:vAlign w:val="center"/>
          </w:tcPr>
          <w:p w14:paraId="32721614" w14:textId="77777777" w:rsidR="0086204A" w:rsidRDefault="0086204A" w:rsidP="0086204A">
            <w:pPr>
              <w:jc w:val="center"/>
            </w:pPr>
            <w:r w:rsidRPr="00E67573">
              <w:t xml:space="preserve">Environmental Site Assessment </w:t>
            </w:r>
            <w:r w:rsidR="00E1306C" w:rsidRPr="00E67573">
              <w:t>(</w:t>
            </w:r>
            <w:r w:rsidRPr="00E67573">
              <w:t>ESA</w:t>
            </w:r>
            <w:r w:rsidR="00E1306C" w:rsidRPr="00E67573">
              <w:t>)</w:t>
            </w:r>
          </w:p>
          <w:p w14:paraId="32721615" w14:textId="77777777" w:rsidR="00BE58BD" w:rsidRPr="00E67573" w:rsidRDefault="00BE58BD" w:rsidP="0086204A">
            <w:pPr>
              <w:jc w:val="center"/>
            </w:pPr>
            <w:r>
              <w:t>Pre-Acquisition Liability Survey (PALS)</w:t>
            </w:r>
          </w:p>
        </w:tc>
        <w:tc>
          <w:tcPr>
            <w:tcW w:w="1768" w:type="dxa"/>
            <w:vAlign w:val="center"/>
          </w:tcPr>
          <w:p w14:paraId="32721616" w14:textId="5DBB3214" w:rsidR="0086204A" w:rsidRPr="00E67573" w:rsidRDefault="0086204A" w:rsidP="0086204A">
            <w:pPr>
              <w:jc w:val="center"/>
            </w:pPr>
            <w:r w:rsidRPr="00E67573">
              <w:t>$</w:t>
            </w:r>
            <w:r w:rsidR="008A5B90">
              <w:t>460</w:t>
            </w:r>
          </w:p>
        </w:tc>
        <w:tc>
          <w:tcPr>
            <w:tcW w:w="2055" w:type="dxa"/>
            <w:vAlign w:val="center"/>
          </w:tcPr>
          <w:p w14:paraId="32721617" w14:textId="717CFEAE" w:rsidR="0086204A" w:rsidRPr="00E67573" w:rsidRDefault="0086204A" w:rsidP="0086204A">
            <w:pPr>
              <w:jc w:val="center"/>
            </w:pPr>
            <w:r w:rsidRPr="00E67573">
              <w:t>$</w:t>
            </w:r>
            <w:r w:rsidR="008A5B90">
              <w:t>230</w:t>
            </w:r>
          </w:p>
        </w:tc>
        <w:tc>
          <w:tcPr>
            <w:tcW w:w="2320" w:type="dxa"/>
            <w:vAlign w:val="center"/>
          </w:tcPr>
          <w:p w14:paraId="32721618" w14:textId="63435C1C" w:rsidR="0086204A" w:rsidRPr="00E67573" w:rsidRDefault="008A5B90" w:rsidP="0086204A">
            <w:pPr>
              <w:jc w:val="center"/>
            </w:pPr>
            <w:r>
              <w:t>$230</w:t>
            </w:r>
          </w:p>
        </w:tc>
      </w:tr>
      <w:tr w:rsidR="0086204A" w:rsidRPr="00261071" w14:paraId="32721620" w14:textId="77777777" w:rsidTr="00B46DE0">
        <w:trPr>
          <w:jc w:val="center"/>
        </w:trPr>
        <w:tc>
          <w:tcPr>
            <w:tcW w:w="3326" w:type="dxa"/>
            <w:vAlign w:val="center"/>
          </w:tcPr>
          <w:p w14:paraId="3272161A" w14:textId="77777777" w:rsidR="0086204A" w:rsidRPr="00E67573" w:rsidRDefault="0086204A" w:rsidP="0086204A">
            <w:pPr>
              <w:jc w:val="center"/>
            </w:pPr>
            <w:r w:rsidRPr="00E67573">
              <w:t>NEPA Compliance</w:t>
            </w:r>
          </w:p>
          <w:p w14:paraId="3272161B" w14:textId="77777777" w:rsidR="0086204A" w:rsidRPr="00E67573" w:rsidRDefault="0086204A" w:rsidP="0086204A">
            <w:pPr>
              <w:jc w:val="center"/>
            </w:pPr>
            <w:r w:rsidRPr="00E67573">
              <w:t>Cultural, Botanical, Wildlife</w:t>
            </w:r>
          </w:p>
          <w:p w14:paraId="3272161C" w14:textId="77777777" w:rsidR="0086204A" w:rsidRPr="00E67573" w:rsidRDefault="00BE58BD" w:rsidP="0086204A">
            <w:pPr>
              <w:jc w:val="center"/>
            </w:pPr>
            <w:r>
              <w:t>Staff</w:t>
            </w:r>
            <w:r w:rsidR="0086204A" w:rsidRPr="00E67573">
              <w:t xml:space="preserve"> work</w:t>
            </w:r>
          </w:p>
        </w:tc>
        <w:tc>
          <w:tcPr>
            <w:tcW w:w="1768" w:type="dxa"/>
            <w:vAlign w:val="center"/>
          </w:tcPr>
          <w:p w14:paraId="3272161D" w14:textId="2A31849A" w:rsidR="0086204A" w:rsidRPr="00E67573" w:rsidRDefault="0086204A" w:rsidP="0086204A">
            <w:pPr>
              <w:jc w:val="center"/>
            </w:pPr>
            <w:r w:rsidRPr="00E67573">
              <w:t>$</w:t>
            </w:r>
            <w:r w:rsidR="008A5B90">
              <w:t>1,910</w:t>
            </w:r>
          </w:p>
        </w:tc>
        <w:tc>
          <w:tcPr>
            <w:tcW w:w="2055" w:type="dxa"/>
            <w:vAlign w:val="center"/>
          </w:tcPr>
          <w:p w14:paraId="3272161E" w14:textId="73B87BDC" w:rsidR="0086204A" w:rsidRPr="00E67573" w:rsidRDefault="0086204A" w:rsidP="00536720">
            <w:pPr>
              <w:jc w:val="center"/>
            </w:pPr>
            <w:r w:rsidRPr="00E67573">
              <w:t>$</w:t>
            </w:r>
            <w:r w:rsidR="008A5B90">
              <w:t>955</w:t>
            </w:r>
          </w:p>
        </w:tc>
        <w:tc>
          <w:tcPr>
            <w:tcW w:w="2320" w:type="dxa"/>
            <w:vAlign w:val="center"/>
          </w:tcPr>
          <w:p w14:paraId="3272161F" w14:textId="07748DBA" w:rsidR="0086204A" w:rsidRPr="00E67573" w:rsidRDefault="008A5B90" w:rsidP="0086204A">
            <w:pPr>
              <w:jc w:val="center"/>
            </w:pPr>
            <w:r>
              <w:t>$955</w:t>
            </w:r>
          </w:p>
        </w:tc>
      </w:tr>
      <w:tr w:rsidR="0086204A" w:rsidRPr="00261071" w14:paraId="32721628" w14:textId="77777777" w:rsidTr="00B46DE0">
        <w:trPr>
          <w:jc w:val="center"/>
        </w:trPr>
        <w:tc>
          <w:tcPr>
            <w:tcW w:w="3326" w:type="dxa"/>
            <w:vAlign w:val="center"/>
          </w:tcPr>
          <w:p w14:paraId="32721621" w14:textId="77777777" w:rsidR="0086204A" w:rsidRPr="00E67573" w:rsidRDefault="00E67573" w:rsidP="0086204A">
            <w:pPr>
              <w:jc w:val="center"/>
            </w:pPr>
            <w:r>
              <w:t xml:space="preserve">Wheeler / Wasco </w:t>
            </w:r>
            <w:r w:rsidR="0086204A" w:rsidRPr="00E67573">
              <w:t xml:space="preserve">County </w:t>
            </w:r>
          </w:p>
          <w:p w14:paraId="32721622" w14:textId="77777777" w:rsidR="0086204A" w:rsidRDefault="0086204A" w:rsidP="0086204A">
            <w:pPr>
              <w:jc w:val="center"/>
            </w:pPr>
            <w:r w:rsidRPr="00E67573">
              <w:t>Property Line Adjustments</w:t>
            </w:r>
          </w:p>
          <w:p w14:paraId="32721623" w14:textId="77777777" w:rsidR="00E67573" w:rsidRDefault="00E67573" w:rsidP="0086204A">
            <w:pPr>
              <w:jc w:val="center"/>
            </w:pPr>
            <w:r>
              <w:t>Application</w:t>
            </w:r>
            <w:r w:rsidRPr="00E67573">
              <w:t xml:space="preserve"> Fees</w:t>
            </w:r>
          </w:p>
          <w:p w14:paraId="32721624" w14:textId="77777777" w:rsidR="0086204A" w:rsidRPr="00E67573" w:rsidRDefault="00E67573" w:rsidP="00E67573">
            <w:pPr>
              <w:jc w:val="center"/>
            </w:pPr>
            <w:r>
              <w:t xml:space="preserve">Survey </w:t>
            </w:r>
            <w:r w:rsidRPr="00E67573">
              <w:t>Plat Map</w:t>
            </w:r>
          </w:p>
        </w:tc>
        <w:tc>
          <w:tcPr>
            <w:tcW w:w="1768" w:type="dxa"/>
            <w:vAlign w:val="center"/>
          </w:tcPr>
          <w:p w14:paraId="32721625" w14:textId="77777777" w:rsidR="0086204A" w:rsidRPr="00E67573" w:rsidRDefault="0086204A" w:rsidP="00536720">
            <w:pPr>
              <w:jc w:val="center"/>
            </w:pPr>
            <w:r w:rsidRPr="00E67573">
              <w:t>$</w:t>
            </w:r>
            <w:r w:rsidR="00536720">
              <w:t>2</w:t>
            </w:r>
            <w:r w:rsidRPr="00E67573">
              <w:t>,</w:t>
            </w:r>
            <w:r w:rsidR="00536720">
              <w:t>5</w:t>
            </w:r>
            <w:r w:rsidRPr="00E67573">
              <w:t>00</w:t>
            </w:r>
          </w:p>
        </w:tc>
        <w:tc>
          <w:tcPr>
            <w:tcW w:w="2055" w:type="dxa"/>
            <w:vAlign w:val="center"/>
          </w:tcPr>
          <w:p w14:paraId="32721626" w14:textId="77777777" w:rsidR="0086204A" w:rsidRPr="00E67573" w:rsidRDefault="0086204A" w:rsidP="0086204A">
            <w:pPr>
              <w:jc w:val="center"/>
            </w:pPr>
            <w:r w:rsidRPr="00E67573">
              <w:t>---</w:t>
            </w:r>
          </w:p>
        </w:tc>
        <w:tc>
          <w:tcPr>
            <w:tcW w:w="2320" w:type="dxa"/>
            <w:vAlign w:val="center"/>
          </w:tcPr>
          <w:p w14:paraId="32721627" w14:textId="77777777" w:rsidR="0086204A" w:rsidRPr="00E67573" w:rsidRDefault="0086204A" w:rsidP="00536720">
            <w:pPr>
              <w:jc w:val="center"/>
            </w:pPr>
            <w:r w:rsidRPr="00E67573">
              <w:t>$</w:t>
            </w:r>
            <w:r w:rsidR="00536720">
              <w:t>2</w:t>
            </w:r>
            <w:r w:rsidRPr="00E67573">
              <w:t>,</w:t>
            </w:r>
            <w:r w:rsidR="00536720">
              <w:t>5</w:t>
            </w:r>
            <w:r w:rsidRPr="00E67573">
              <w:t>00</w:t>
            </w:r>
          </w:p>
        </w:tc>
      </w:tr>
      <w:tr w:rsidR="0086204A" w:rsidRPr="00261071" w14:paraId="3272162E" w14:textId="77777777" w:rsidTr="00B46DE0">
        <w:trPr>
          <w:jc w:val="center"/>
        </w:trPr>
        <w:tc>
          <w:tcPr>
            <w:tcW w:w="3326" w:type="dxa"/>
            <w:vAlign w:val="center"/>
          </w:tcPr>
          <w:p w14:paraId="32721629" w14:textId="77777777" w:rsidR="0086204A" w:rsidRPr="00E67573" w:rsidRDefault="0086204A" w:rsidP="0086204A">
            <w:pPr>
              <w:jc w:val="center"/>
            </w:pPr>
            <w:r w:rsidRPr="00E67573">
              <w:t xml:space="preserve">Appraisal Reports </w:t>
            </w:r>
          </w:p>
          <w:p w14:paraId="3272162A" w14:textId="77777777" w:rsidR="0086204A" w:rsidRPr="00E67573" w:rsidRDefault="0086204A" w:rsidP="0086204A">
            <w:pPr>
              <w:jc w:val="center"/>
            </w:pPr>
            <w:r w:rsidRPr="00E67573">
              <w:t>and OVS Review/Approval</w:t>
            </w:r>
          </w:p>
        </w:tc>
        <w:tc>
          <w:tcPr>
            <w:tcW w:w="1768" w:type="dxa"/>
            <w:vAlign w:val="center"/>
          </w:tcPr>
          <w:p w14:paraId="3272162B" w14:textId="77777777" w:rsidR="0086204A" w:rsidRPr="00E67573" w:rsidRDefault="0086204A" w:rsidP="0086204A">
            <w:pPr>
              <w:jc w:val="center"/>
            </w:pPr>
            <w:r w:rsidRPr="00E67573">
              <w:t>$18,600</w:t>
            </w:r>
          </w:p>
        </w:tc>
        <w:tc>
          <w:tcPr>
            <w:tcW w:w="2055" w:type="dxa"/>
            <w:vAlign w:val="center"/>
          </w:tcPr>
          <w:p w14:paraId="3272162C" w14:textId="476B9459" w:rsidR="0086204A" w:rsidRPr="00E67573" w:rsidRDefault="0086204A" w:rsidP="00E37D20">
            <w:pPr>
              <w:jc w:val="center"/>
            </w:pPr>
            <w:r w:rsidRPr="00E67573">
              <w:t>$</w:t>
            </w:r>
            <w:r w:rsidR="00E37D20">
              <w:t>1</w:t>
            </w:r>
            <w:r w:rsidR="008A5B90">
              <w:t>2,300</w:t>
            </w:r>
          </w:p>
        </w:tc>
        <w:tc>
          <w:tcPr>
            <w:tcW w:w="2320" w:type="dxa"/>
            <w:vAlign w:val="center"/>
          </w:tcPr>
          <w:p w14:paraId="3272162D" w14:textId="3F9F2A23" w:rsidR="0086204A" w:rsidRPr="00E67573" w:rsidRDefault="00536720" w:rsidP="00E37D20">
            <w:pPr>
              <w:jc w:val="center"/>
            </w:pPr>
            <w:r>
              <w:t>$</w:t>
            </w:r>
            <w:r w:rsidR="008A5B90">
              <w:t>6,300</w:t>
            </w:r>
          </w:p>
        </w:tc>
      </w:tr>
      <w:tr w:rsidR="0086204A" w:rsidRPr="00261071" w14:paraId="32721635" w14:textId="77777777" w:rsidTr="00B46DE0">
        <w:trPr>
          <w:jc w:val="center"/>
        </w:trPr>
        <w:tc>
          <w:tcPr>
            <w:tcW w:w="3326" w:type="dxa"/>
            <w:vAlign w:val="center"/>
          </w:tcPr>
          <w:p w14:paraId="3272162F" w14:textId="77777777" w:rsidR="0086204A" w:rsidRPr="00E67573" w:rsidRDefault="0086204A" w:rsidP="0086204A">
            <w:pPr>
              <w:jc w:val="center"/>
            </w:pPr>
            <w:r w:rsidRPr="00E67573">
              <w:t>Notice of Exchange Proposal (NOEP)</w:t>
            </w:r>
          </w:p>
          <w:p w14:paraId="32721630" w14:textId="77777777" w:rsidR="0086204A" w:rsidRPr="00E67573" w:rsidRDefault="0086204A" w:rsidP="0086204A">
            <w:pPr>
              <w:jc w:val="center"/>
            </w:pPr>
            <w:r w:rsidRPr="00E67573">
              <w:t>Notice of Decision (NOD)</w:t>
            </w:r>
          </w:p>
          <w:p w14:paraId="32721631" w14:textId="77777777" w:rsidR="0086204A" w:rsidRPr="00E67573" w:rsidRDefault="0086204A" w:rsidP="0086204A">
            <w:pPr>
              <w:jc w:val="center"/>
            </w:pPr>
            <w:r w:rsidRPr="00E67573">
              <w:t xml:space="preserve"> Publication Costs</w:t>
            </w:r>
          </w:p>
        </w:tc>
        <w:tc>
          <w:tcPr>
            <w:tcW w:w="1768" w:type="dxa"/>
            <w:vAlign w:val="center"/>
          </w:tcPr>
          <w:p w14:paraId="32721632" w14:textId="77777777" w:rsidR="0086204A" w:rsidRPr="00E67573" w:rsidRDefault="0086204A" w:rsidP="00BE58BD">
            <w:pPr>
              <w:jc w:val="center"/>
            </w:pPr>
            <w:r w:rsidRPr="00E67573">
              <w:t>$500</w:t>
            </w:r>
          </w:p>
        </w:tc>
        <w:tc>
          <w:tcPr>
            <w:tcW w:w="2055" w:type="dxa"/>
            <w:vAlign w:val="center"/>
          </w:tcPr>
          <w:p w14:paraId="32721633" w14:textId="77777777" w:rsidR="0086204A" w:rsidRPr="00E67573" w:rsidRDefault="0086204A" w:rsidP="0086204A">
            <w:pPr>
              <w:jc w:val="center"/>
            </w:pPr>
            <w:r w:rsidRPr="00E67573">
              <w:t>---</w:t>
            </w:r>
          </w:p>
        </w:tc>
        <w:tc>
          <w:tcPr>
            <w:tcW w:w="2320" w:type="dxa"/>
            <w:vAlign w:val="center"/>
          </w:tcPr>
          <w:p w14:paraId="32721634" w14:textId="77777777" w:rsidR="0086204A" w:rsidRPr="00E67573" w:rsidRDefault="0086204A" w:rsidP="00BE58BD">
            <w:pPr>
              <w:jc w:val="center"/>
            </w:pPr>
            <w:r w:rsidRPr="00E67573">
              <w:t>$500</w:t>
            </w:r>
          </w:p>
        </w:tc>
      </w:tr>
      <w:tr w:rsidR="0086204A" w:rsidRPr="00261071" w14:paraId="3272163C" w14:textId="77777777" w:rsidTr="00B46DE0">
        <w:trPr>
          <w:jc w:val="center"/>
        </w:trPr>
        <w:tc>
          <w:tcPr>
            <w:tcW w:w="3326" w:type="dxa"/>
            <w:vAlign w:val="center"/>
          </w:tcPr>
          <w:p w14:paraId="32721636" w14:textId="77777777" w:rsidR="0086204A" w:rsidRPr="00E67573" w:rsidRDefault="0086204A" w:rsidP="0086204A">
            <w:pPr>
              <w:jc w:val="center"/>
            </w:pPr>
            <w:r w:rsidRPr="00E67573">
              <w:t xml:space="preserve">Escrow / </w:t>
            </w:r>
          </w:p>
          <w:p w14:paraId="32721637" w14:textId="77777777" w:rsidR="0086204A" w:rsidRDefault="0086204A" w:rsidP="0086204A">
            <w:pPr>
              <w:jc w:val="center"/>
            </w:pPr>
            <w:r w:rsidRPr="00E67573">
              <w:t>Closing Costs</w:t>
            </w:r>
          </w:p>
          <w:p w14:paraId="32721638" w14:textId="77777777" w:rsidR="00BE58BD" w:rsidRPr="00E67573" w:rsidRDefault="00BE58BD" w:rsidP="0086204A">
            <w:pPr>
              <w:jc w:val="center"/>
            </w:pPr>
            <w:r>
              <w:t>Recording Fees</w:t>
            </w:r>
          </w:p>
        </w:tc>
        <w:tc>
          <w:tcPr>
            <w:tcW w:w="1768" w:type="dxa"/>
            <w:vAlign w:val="center"/>
          </w:tcPr>
          <w:p w14:paraId="32721639" w14:textId="77777777" w:rsidR="0086204A" w:rsidRPr="00E67573" w:rsidRDefault="0086204A" w:rsidP="00BE58BD">
            <w:pPr>
              <w:jc w:val="center"/>
            </w:pPr>
            <w:r w:rsidRPr="00E67573">
              <w:t>$</w:t>
            </w:r>
            <w:r w:rsidR="00BE58BD">
              <w:t>3</w:t>
            </w:r>
            <w:r w:rsidRPr="00E67573">
              <w:t>,000</w:t>
            </w:r>
          </w:p>
        </w:tc>
        <w:tc>
          <w:tcPr>
            <w:tcW w:w="2055" w:type="dxa"/>
            <w:vAlign w:val="center"/>
          </w:tcPr>
          <w:p w14:paraId="3272163A" w14:textId="77777777" w:rsidR="0086204A" w:rsidRPr="00E67573" w:rsidRDefault="0086204A" w:rsidP="0086204A">
            <w:pPr>
              <w:jc w:val="center"/>
            </w:pPr>
            <w:r w:rsidRPr="00E67573">
              <w:t>---</w:t>
            </w:r>
          </w:p>
        </w:tc>
        <w:tc>
          <w:tcPr>
            <w:tcW w:w="2320" w:type="dxa"/>
            <w:vAlign w:val="center"/>
          </w:tcPr>
          <w:p w14:paraId="3272163B" w14:textId="77777777" w:rsidR="0086204A" w:rsidRPr="00E67573" w:rsidRDefault="0086204A" w:rsidP="0086204A">
            <w:pPr>
              <w:jc w:val="center"/>
            </w:pPr>
            <w:r w:rsidRPr="00E67573">
              <w:t>$</w:t>
            </w:r>
            <w:r w:rsidR="00BE58BD">
              <w:t>3</w:t>
            </w:r>
            <w:r w:rsidRPr="00E67573">
              <w:t>,000</w:t>
            </w:r>
          </w:p>
        </w:tc>
      </w:tr>
      <w:tr w:rsidR="0086204A" w:rsidRPr="00261071" w14:paraId="32721643" w14:textId="77777777" w:rsidTr="00B46DE0">
        <w:trPr>
          <w:trHeight w:val="288"/>
          <w:jc w:val="center"/>
        </w:trPr>
        <w:tc>
          <w:tcPr>
            <w:tcW w:w="3326" w:type="dxa"/>
            <w:vAlign w:val="center"/>
          </w:tcPr>
          <w:p w14:paraId="3272163D" w14:textId="77777777" w:rsidR="0086204A" w:rsidRPr="00E67573" w:rsidRDefault="0086204A" w:rsidP="0086204A">
            <w:pPr>
              <w:jc w:val="center"/>
              <w:rPr>
                <w:b/>
                <w:bCs/>
              </w:rPr>
            </w:pPr>
          </w:p>
          <w:p w14:paraId="3272163E" w14:textId="77777777" w:rsidR="0086204A" w:rsidRPr="00E67573" w:rsidRDefault="0086204A" w:rsidP="0086204A">
            <w:pPr>
              <w:jc w:val="center"/>
              <w:rPr>
                <w:b/>
                <w:bCs/>
              </w:rPr>
            </w:pPr>
            <w:r w:rsidRPr="00E67573">
              <w:rPr>
                <w:b/>
                <w:bCs/>
              </w:rPr>
              <w:t>TOTAL</w:t>
            </w:r>
          </w:p>
          <w:p w14:paraId="3272163F" w14:textId="77777777" w:rsidR="0086204A" w:rsidRPr="00E67573" w:rsidRDefault="0086204A" w:rsidP="0086204A">
            <w:pPr>
              <w:jc w:val="center"/>
              <w:rPr>
                <w:b/>
                <w:bCs/>
              </w:rPr>
            </w:pPr>
          </w:p>
        </w:tc>
        <w:tc>
          <w:tcPr>
            <w:tcW w:w="1768" w:type="dxa"/>
            <w:vAlign w:val="center"/>
          </w:tcPr>
          <w:p w14:paraId="32721640" w14:textId="582059E1" w:rsidR="0086204A" w:rsidRPr="00E67573" w:rsidRDefault="0086204A" w:rsidP="00536720">
            <w:pPr>
              <w:jc w:val="center"/>
              <w:rPr>
                <w:b/>
                <w:bCs/>
              </w:rPr>
            </w:pPr>
            <w:r w:rsidRPr="00E67573">
              <w:rPr>
                <w:b/>
                <w:bCs/>
              </w:rPr>
              <w:t>$</w:t>
            </w:r>
            <w:r w:rsidR="00536720">
              <w:rPr>
                <w:b/>
                <w:bCs/>
              </w:rPr>
              <w:t>39,</w:t>
            </w:r>
            <w:r w:rsidR="008A5B90">
              <w:rPr>
                <w:b/>
                <w:bCs/>
              </w:rPr>
              <w:t>190</w:t>
            </w:r>
          </w:p>
        </w:tc>
        <w:tc>
          <w:tcPr>
            <w:tcW w:w="2055" w:type="dxa"/>
            <w:vAlign w:val="center"/>
          </w:tcPr>
          <w:p w14:paraId="32721641" w14:textId="5F8EC359" w:rsidR="0086204A" w:rsidRPr="00E67573" w:rsidRDefault="0086204A" w:rsidP="00E37D20">
            <w:pPr>
              <w:jc w:val="center"/>
              <w:rPr>
                <w:b/>
                <w:bCs/>
              </w:rPr>
            </w:pPr>
            <w:r w:rsidRPr="00E67573">
              <w:rPr>
                <w:b/>
                <w:bCs/>
              </w:rPr>
              <w:t>$</w:t>
            </w:r>
            <w:r w:rsidR="00536720">
              <w:rPr>
                <w:b/>
                <w:bCs/>
              </w:rPr>
              <w:t>1</w:t>
            </w:r>
            <w:r w:rsidR="00E37D20">
              <w:rPr>
                <w:b/>
                <w:bCs/>
              </w:rPr>
              <w:t>9</w:t>
            </w:r>
            <w:r w:rsidR="00536720">
              <w:rPr>
                <w:b/>
                <w:bCs/>
              </w:rPr>
              <w:t>,</w:t>
            </w:r>
            <w:r w:rsidR="008A5B90">
              <w:rPr>
                <w:b/>
                <w:bCs/>
              </w:rPr>
              <w:t>595</w:t>
            </w:r>
          </w:p>
        </w:tc>
        <w:tc>
          <w:tcPr>
            <w:tcW w:w="2320" w:type="dxa"/>
            <w:vAlign w:val="center"/>
          </w:tcPr>
          <w:p w14:paraId="32721642" w14:textId="4445CC4E" w:rsidR="0086204A" w:rsidRPr="00E67573" w:rsidRDefault="00583D86" w:rsidP="00E37D20">
            <w:pPr>
              <w:jc w:val="center"/>
              <w:rPr>
                <w:b/>
                <w:bCs/>
              </w:rPr>
            </w:pPr>
            <w:r w:rsidRPr="00E67573">
              <w:rPr>
                <w:b/>
                <w:bCs/>
              </w:rPr>
              <w:t>$</w:t>
            </w:r>
            <w:r w:rsidR="00E37D20">
              <w:rPr>
                <w:b/>
                <w:bCs/>
              </w:rPr>
              <w:t>19,</w:t>
            </w:r>
            <w:r w:rsidR="008A5B90">
              <w:rPr>
                <w:b/>
                <w:bCs/>
              </w:rPr>
              <w:t>595</w:t>
            </w:r>
          </w:p>
        </w:tc>
      </w:tr>
    </w:tbl>
    <w:p w14:paraId="32721644" w14:textId="77F49A7A" w:rsidR="0086204A" w:rsidRDefault="0086204A" w:rsidP="001A1C65"/>
    <w:p w14:paraId="32721645" w14:textId="7C08AA48" w:rsidR="007A4F24" w:rsidRDefault="007A4F24"/>
    <w:p w14:paraId="66AB90CA" w14:textId="5ADE0119" w:rsidR="00997A0C" w:rsidRDefault="00997A0C">
      <w:r>
        <w:br w:type="page"/>
      </w:r>
    </w:p>
    <w:p w14:paraId="29F71B90" w14:textId="433F168F" w:rsidR="00B129E2" w:rsidRDefault="00F0710B" w:rsidP="004B0C22">
      <w:pPr>
        <w:pStyle w:val="Style"/>
        <w:ind w:left="29" w:right="321"/>
      </w:pPr>
      <w:r w:rsidRPr="00F0710B">
        <w:rPr>
          <w:b/>
        </w:rPr>
        <w:lastRenderedPageBreak/>
        <w:t>9.2</w:t>
      </w:r>
      <w:r w:rsidRPr="00F0710B">
        <w:rPr>
          <w:b/>
        </w:rPr>
        <w:tab/>
        <w:t>Proposed Schedule:</w:t>
      </w:r>
      <w:r>
        <w:t xml:space="preserve">  </w:t>
      </w:r>
      <w:r w:rsidR="00751C23" w:rsidRPr="00712BCA">
        <w:t xml:space="preserve">The following schedule outlines </w:t>
      </w:r>
      <w:r w:rsidR="008B5CE5">
        <w:t xml:space="preserve">some of the general </w:t>
      </w:r>
      <w:r w:rsidR="00751C23" w:rsidRPr="00712BCA">
        <w:t xml:space="preserve">tasks to </w:t>
      </w:r>
      <w:proofErr w:type="gramStart"/>
      <w:r w:rsidR="00751C23" w:rsidRPr="00712BCA">
        <w:t>be performed</w:t>
      </w:r>
      <w:proofErr w:type="gramEnd"/>
      <w:r w:rsidR="008B5CE5">
        <w:t xml:space="preserve"> a</w:t>
      </w:r>
      <w:r w:rsidR="00751C23" w:rsidRPr="00712BCA">
        <w:t>nd a projected timeframe for accomplishing the work</w:t>
      </w:r>
      <w:r w:rsidR="00171A64">
        <w:t>:</w:t>
      </w:r>
      <w:r w:rsidR="00751C23" w:rsidRPr="00712BCA">
        <w:t xml:space="preserve"> </w:t>
      </w:r>
      <w:r w:rsidR="00441E01">
        <w:t xml:space="preserve"> </w:t>
      </w:r>
    </w:p>
    <w:p w14:paraId="1196D660" w14:textId="77777777" w:rsidR="00F0710B" w:rsidRDefault="00F0710B" w:rsidP="004B0C22">
      <w:pPr>
        <w:pStyle w:val="Style"/>
        <w:ind w:left="29" w:right="321"/>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8"/>
        <w:gridCol w:w="1631"/>
      </w:tblGrid>
      <w:tr w:rsidR="00F0710B" w:rsidRPr="00275EDC" w14:paraId="6C766BE8" w14:textId="77777777" w:rsidTr="00E8731E">
        <w:tc>
          <w:tcPr>
            <w:tcW w:w="0" w:type="auto"/>
            <w:shd w:val="clear" w:color="auto" w:fill="auto"/>
            <w:vAlign w:val="center"/>
          </w:tcPr>
          <w:p w14:paraId="498879AA" w14:textId="77777777" w:rsidR="00F0710B" w:rsidRPr="00275EDC" w:rsidRDefault="00F0710B" w:rsidP="00E8731E">
            <w:pPr>
              <w:ind w:right="321"/>
              <w:rPr>
                <w:b/>
              </w:rPr>
            </w:pPr>
            <w:r w:rsidRPr="00275EDC">
              <w:rPr>
                <w:b/>
              </w:rPr>
              <w:t>Processing Tasks</w:t>
            </w:r>
          </w:p>
        </w:tc>
        <w:tc>
          <w:tcPr>
            <w:tcW w:w="0" w:type="auto"/>
            <w:shd w:val="clear" w:color="auto" w:fill="auto"/>
            <w:vAlign w:val="center"/>
          </w:tcPr>
          <w:p w14:paraId="13B045E7" w14:textId="77777777" w:rsidR="00F0710B" w:rsidRPr="00275EDC" w:rsidRDefault="00F0710B" w:rsidP="00E8731E">
            <w:pPr>
              <w:ind w:right="321"/>
            </w:pPr>
          </w:p>
        </w:tc>
      </w:tr>
      <w:tr w:rsidR="00F0710B" w:rsidRPr="00275EDC" w14:paraId="6979B931" w14:textId="77777777" w:rsidTr="00E8731E">
        <w:tc>
          <w:tcPr>
            <w:tcW w:w="0" w:type="auto"/>
            <w:shd w:val="clear" w:color="auto" w:fill="auto"/>
            <w:vAlign w:val="center"/>
          </w:tcPr>
          <w:p w14:paraId="16169DF1" w14:textId="77777777" w:rsidR="00F0710B" w:rsidRPr="00275EDC" w:rsidRDefault="00F0710B" w:rsidP="00E8731E">
            <w:pPr>
              <w:ind w:right="321"/>
            </w:pPr>
            <w:r w:rsidRPr="00275EDC">
              <w:t>Feasibility Package Approved by the Director</w:t>
            </w:r>
          </w:p>
        </w:tc>
        <w:tc>
          <w:tcPr>
            <w:tcW w:w="0" w:type="auto"/>
            <w:shd w:val="clear" w:color="auto" w:fill="auto"/>
            <w:vAlign w:val="center"/>
          </w:tcPr>
          <w:p w14:paraId="7CB5E75C" w14:textId="74DFC8A0" w:rsidR="00F0710B" w:rsidRPr="00275EDC" w:rsidRDefault="00F0710B" w:rsidP="00893A16">
            <w:pPr>
              <w:ind w:right="321"/>
            </w:pPr>
            <w:r w:rsidRPr="00275EDC">
              <w:t>0</w:t>
            </w:r>
            <w:r w:rsidR="00893A16">
              <w:t>9</w:t>
            </w:r>
            <w:r w:rsidRPr="00275EDC">
              <w:t>/</w:t>
            </w:r>
            <w:r w:rsidR="00893A16">
              <w:t>15</w:t>
            </w:r>
            <w:r w:rsidRPr="00275EDC">
              <w:t>/2013</w:t>
            </w:r>
          </w:p>
        </w:tc>
      </w:tr>
      <w:tr w:rsidR="00F0710B" w:rsidRPr="00275EDC" w14:paraId="23B9DF3F" w14:textId="77777777" w:rsidTr="00E8731E">
        <w:tc>
          <w:tcPr>
            <w:tcW w:w="0" w:type="auto"/>
            <w:shd w:val="clear" w:color="auto" w:fill="auto"/>
            <w:vAlign w:val="center"/>
          </w:tcPr>
          <w:p w14:paraId="7DC287E8" w14:textId="77777777" w:rsidR="00F0710B" w:rsidRPr="00275EDC" w:rsidRDefault="00F0710B" w:rsidP="00E8731E">
            <w:pPr>
              <w:ind w:right="321"/>
            </w:pPr>
            <w:r w:rsidRPr="00275EDC">
              <w:t>Agreement to Initiate signed</w:t>
            </w:r>
          </w:p>
        </w:tc>
        <w:tc>
          <w:tcPr>
            <w:tcW w:w="0" w:type="auto"/>
            <w:shd w:val="clear" w:color="auto" w:fill="auto"/>
            <w:vAlign w:val="center"/>
          </w:tcPr>
          <w:p w14:paraId="2AE4B9D5" w14:textId="48209AC2" w:rsidR="00F0710B" w:rsidRPr="00275EDC" w:rsidRDefault="00F0710B" w:rsidP="00512DE0">
            <w:pPr>
              <w:tabs>
                <w:tab w:val="left" w:pos="0"/>
                <w:tab w:val="right" w:leader="dot" w:pos="9356"/>
              </w:tabs>
            </w:pPr>
            <w:r w:rsidRPr="00275EDC">
              <w:t>0</w:t>
            </w:r>
            <w:r w:rsidR="008A5B90">
              <w:t>9</w:t>
            </w:r>
            <w:r w:rsidRPr="00275EDC">
              <w:t>/</w:t>
            </w:r>
            <w:r w:rsidR="00893A16">
              <w:t>30</w:t>
            </w:r>
            <w:r w:rsidRPr="00275EDC">
              <w:t>/2013</w:t>
            </w:r>
          </w:p>
        </w:tc>
      </w:tr>
      <w:tr w:rsidR="00F0710B" w:rsidRPr="00275EDC" w14:paraId="0D2215B4" w14:textId="77777777" w:rsidTr="00E8731E">
        <w:tc>
          <w:tcPr>
            <w:tcW w:w="0" w:type="auto"/>
            <w:shd w:val="clear" w:color="auto" w:fill="auto"/>
            <w:vAlign w:val="center"/>
          </w:tcPr>
          <w:p w14:paraId="2CB63693" w14:textId="77777777" w:rsidR="00F0710B" w:rsidRPr="00275EDC" w:rsidRDefault="00F0710B" w:rsidP="00E8731E">
            <w:pPr>
              <w:ind w:right="321"/>
            </w:pPr>
            <w:r w:rsidRPr="00275EDC">
              <w:t>Notice of Exchange Proposal Published</w:t>
            </w:r>
          </w:p>
        </w:tc>
        <w:tc>
          <w:tcPr>
            <w:tcW w:w="0" w:type="auto"/>
            <w:shd w:val="clear" w:color="auto" w:fill="auto"/>
            <w:vAlign w:val="center"/>
          </w:tcPr>
          <w:p w14:paraId="65587234" w14:textId="37567022" w:rsidR="00F0710B" w:rsidRPr="00275EDC" w:rsidRDefault="008A5B90" w:rsidP="00512DE0">
            <w:pPr>
              <w:ind w:right="321"/>
            </w:pPr>
            <w:r>
              <w:t>10</w:t>
            </w:r>
            <w:r w:rsidR="00F0710B" w:rsidRPr="00275EDC">
              <w:t>/01/2013</w:t>
            </w:r>
          </w:p>
        </w:tc>
      </w:tr>
      <w:tr w:rsidR="00F0710B" w:rsidRPr="00275EDC" w14:paraId="4E33C042" w14:textId="77777777" w:rsidTr="00E8731E">
        <w:tc>
          <w:tcPr>
            <w:tcW w:w="0" w:type="auto"/>
            <w:shd w:val="clear" w:color="auto" w:fill="auto"/>
            <w:vAlign w:val="center"/>
          </w:tcPr>
          <w:p w14:paraId="6FA74193" w14:textId="77777777" w:rsidR="00F0710B" w:rsidRPr="00275EDC" w:rsidRDefault="00F0710B" w:rsidP="00E8731E">
            <w:pPr>
              <w:tabs>
                <w:tab w:val="left" w:pos="0"/>
                <w:tab w:val="right" w:leader="dot" w:pos="9356"/>
              </w:tabs>
              <w:rPr>
                <w:b/>
                <w:bCs/>
                <w:color w:val="000000"/>
              </w:rPr>
            </w:pPr>
            <w:r w:rsidRPr="00275EDC">
              <w:rPr>
                <w:b/>
              </w:rPr>
              <w:t>Land Appraisals*</w:t>
            </w:r>
          </w:p>
        </w:tc>
        <w:tc>
          <w:tcPr>
            <w:tcW w:w="0" w:type="auto"/>
            <w:shd w:val="clear" w:color="auto" w:fill="auto"/>
            <w:vAlign w:val="center"/>
          </w:tcPr>
          <w:p w14:paraId="7E8BA487" w14:textId="77777777" w:rsidR="00F0710B" w:rsidRPr="00275EDC" w:rsidRDefault="00F0710B" w:rsidP="00E8731E">
            <w:pPr>
              <w:ind w:right="321"/>
            </w:pPr>
          </w:p>
        </w:tc>
      </w:tr>
      <w:tr w:rsidR="00F0710B" w:rsidRPr="00275EDC" w14:paraId="67309969" w14:textId="77777777" w:rsidTr="00E8731E">
        <w:tc>
          <w:tcPr>
            <w:tcW w:w="0" w:type="auto"/>
            <w:shd w:val="clear" w:color="auto" w:fill="auto"/>
            <w:vAlign w:val="center"/>
          </w:tcPr>
          <w:p w14:paraId="1606E88A" w14:textId="77777777" w:rsidR="00F0710B" w:rsidRPr="00275EDC" w:rsidRDefault="00F0710B" w:rsidP="00E8731E">
            <w:pPr>
              <w:ind w:right="321"/>
            </w:pPr>
            <w:r w:rsidRPr="00275EDC">
              <w:rPr>
                <w:color w:val="000000"/>
              </w:rPr>
              <w:t>Appraisal Cost Estimate Provided by OVS</w:t>
            </w:r>
          </w:p>
        </w:tc>
        <w:tc>
          <w:tcPr>
            <w:tcW w:w="0" w:type="auto"/>
            <w:shd w:val="clear" w:color="auto" w:fill="auto"/>
            <w:vAlign w:val="center"/>
          </w:tcPr>
          <w:p w14:paraId="2213A869" w14:textId="77777777" w:rsidR="00F0710B" w:rsidRPr="00275EDC" w:rsidRDefault="00F0710B" w:rsidP="00E8731E">
            <w:pPr>
              <w:ind w:right="321"/>
            </w:pPr>
            <w:r w:rsidRPr="00275EDC">
              <w:rPr>
                <w:color w:val="000000"/>
              </w:rPr>
              <w:t>02/15/2011</w:t>
            </w:r>
          </w:p>
        </w:tc>
      </w:tr>
      <w:tr w:rsidR="00F0710B" w:rsidRPr="00275EDC" w14:paraId="13121528" w14:textId="77777777" w:rsidTr="00E8731E">
        <w:tc>
          <w:tcPr>
            <w:tcW w:w="0" w:type="auto"/>
            <w:shd w:val="clear" w:color="auto" w:fill="auto"/>
            <w:vAlign w:val="center"/>
          </w:tcPr>
          <w:p w14:paraId="4E7A461B" w14:textId="77777777" w:rsidR="00F0710B" w:rsidRPr="00275EDC" w:rsidRDefault="00F0710B" w:rsidP="00E8731E">
            <w:pPr>
              <w:ind w:right="321"/>
            </w:pPr>
            <w:r w:rsidRPr="00275EDC">
              <w:rPr>
                <w:color w:val="000000"/>
              </w:rPr>
              <w:t>Request Appraisals and Review</w:t>
            </w:r>
          </w:p>
        </w:tc>
        <w:tc>
          <w:tcPr>
            <w:tcW w:w="0" w:type="auto"/>
            <w:shd w:val="clear" w:color="auto" w:fill="auto"/>
            <w:vAlign w:val="center"/>
          </w:tcPr>
          <w:p w14:paraId="43E06867" w14:textId="77777777" w:rsidR="00F0710B" w:rsidRPr="00275EDC" w:rsidRDefault="00F0710B" w:rsidP="00E8731E">
            <w:pPr>
              <w:ind w:right="321"/>
            </w:pPr>
            <w:r w:rsidRPr="00275EDC">
              <w:rPr>
                <w:color w:val="000000"/>
              </w:rPr>
              <w:t>07/01/2011</w:t>
            </w:r>
          </w:p>
        </w:tc>
      </w:tr>
      <w:tr w:rsidR="00F0710B" w:rsidRPr="00275EDC" w14:paraId="4FE96C6F" w14:textId="77777777" w:rsidTr="00E8731E">
        <w:tc>
          <w:tcPr>
            <w:tcW w:w="0" w:type="auto"/>
            <w:shd w:val="clear" w:color="auto" w:fill="auto"/>
            <w:vAlign w:val="center"/>
          </w:tcPr>
          <w:p w14:paraId="37C25BED" w14:textId="77777777" w:rsidR="00F0710B" w:rsidRPr="00275EDC" w:rsidRDefault="00F0710B" w:rsidP="00E8731E">
            <w:pPr>
              <w:ind w:right="321"/>
            </w:pPr>
            <w:r w:rsidRPr="00275EDC">
              <w:rPr>
                <w:color w:val="000000"/>
              </w:rPr>
              <w:t>OVS Prepares Appraisal Statement of Work</w:t>
            </w:r>
          </w:p>
        </w:tc>
        <w:tc>
          <w:tcPr>
            <w:tcW w:w="0" w:type="auto"/>
            <w:shd w:val="clear" w:color="auto" w:fill="auto"/>
            <w:vAlign w:val="center"/>
          </w:tcPr>
          <w:p w14:paraId="364D5602" w14:textId="77777777" w:rsidR="00F0710B" w:rsidRPr="00275EDC" w:rsidRDefault="00F0710B" w:rsidP="00E8731E">
            <w:pPr>
              <w:ind w:right="321"/>
            </w:pPr>
            <w:r w:rsidRPr="00275EDC">
              <w:rPr>
                <w:color w:val="000000"/>
              </w:rPr>
              <w:t>08/01/2011</w:t>
            </w:r>
          </w:p>
        </w:tc>
      </w:tr>
      <w:tr w:rsidR="00F0710B" w:rsidRPr="00275EDC" w14:paraId="461D5FB9" w14:textId="77777777" w:rsidTr="00E8731E">
        <w:tc>
          <w:tcPr>
            <w:tcW w:w="0" w:type="auto"/>
            <w:shd w:val="clear" w:color="auto" w:fill="auto"/>
            <w:vAlign w:val="center"/>
          </w:tcPr>
          <w:p w14:paraId="48F1B2C5" w14:textId="77777777" w:rsidR="00F0710B" w:rsidRPr="00275EDC" w:rsidRDefault="00F0710B" w:rsidP="00E8731E">
            <w:pPr>
              <w:ind w:right="321"/>
              <w:rPr>
                <w:color w:val="000000"/>
              </w:rPr>
            </w:pPr>
            <w:r w:rsidRPr="00275EDC">
              <w:rPr>
                <w:color w:val="000000"/>
              </w:rPr>
              <w:t>OVS Issues Appraisal Contract</w:t>
            </w:r>
          </w:p>
        </w:tc>
        <w:tc>
          <w:tcPr>
            <w:tcW w:w="0" w:type="auto"/>
            <w:shd w:val="clear" w:color="auto" w:fill="auto"/>
            <w:vAlign w:val="center"/>
          </w:tcPr>
          <w:p w14:paraId="7B63FE3D" w14:textId="77777777" w:rsidR="00F0710B" w:rsidRPr="00275EDC" w:rsidRDefault="00F0710B" w:rsidP="00E8731E">
            <w:pPr>
              <w:ind w:right="321"/>
              <w:rPr>
                <w:color w:val="000000"/>
              </w:rPr>
            </w:pPr>
            <w:r w:rsidRPr="00275EDC">
              <w:rPr>
                <w:color w:val="000000"/>
              </w:rPr>
              <w:t>09/01/2011</w:t>
            </w:r>
          </w:p>
        </w:tc>
      </w:tr>
      <w:tr w:rsidR="00F0710B" w:rsidRPr="00275EDC" w14:paraId="5071E484" w14:textId="77777777" w:rsidTr="00E8731E">
        <w:tc>
          <w:tcPr>
            <w:tcW w:w="0" w:type="auto"/>
            <w:shd w:val="clear" w:color="auto" w:fill="auto"/>
            <w:vAlign w:val="center"/>
          </w:tcPr>
          <w:p w14:paraId="6FEE15E5" w14:textId="77777777" w:rsidR="00F0710B" w:rsidRPr="00275EDC" w:rsidRDefault="00F0710B" w:rsidP="00E8731E">
            <w:pPr>
              <w:ind w:right="321"/>
              <w:rPr>
                <w:color w:val="000000"/>
              </w:rPr>
            </w:pPr>
            <w:r w:rsidRPr="00275EDC">
              <w:rPr>
                <w:color w:val="000000"/>
              </w:rPr>
              <w:t>Contract Appraisal Completed</w:t>
            </w:r>
          </w:p>
        </w:tc>
        <w:tc>
          <w:tcPr>
            <w:tcW w:w="0" w:type="auto"/>
            <w:shd w:val="clear" w:color="auto" w:fill="auto"/>
            <w:vAlign w:val="center"/>
          </w:tcPr>
          <w:p w14:paraId="1BCADC4B" w14:textId="77777777" w:rsidR="00F0710B" w:rsidRPr="00275EDC" w:rsidRDefault="00F0710B" w:rsidP="00E8731E">
            <w:pPr>
              <w:ind w:right="321"/>
              <w:rPr>
                <w:color w:val="000000"/>
              </w:rPr>
            </w:pPr>
            <w:r w:rsidRPr="00275EDC">
              <w:rPr>
                <w:color w:val="000000"/>
              </w:rPr>
              <w:t>12/12/2011</w:t>
            </w:r>
          </w:p>
        </w:tc>
      </w:tr>
      <w:tr w:rsidR="00F0710B" w:rsidRPr="00275EDC" w14:paraId="4C52A84D" w14:textId="77777777" w:rsidTr="00E8731E">
        <w:tc>
          <w:tcPr>
            <w:tcW w:w="0" w:type="auto"/>
            <w:shd w:val="clear" w:color="auto" w:fill="auto"/>
            <w:vAlign w:val="center"/>
          </w:tcPr>
          <w:p w14:paraId="3C58696E" w14:textId="77777777" w:rsidR="00F0710B" w:rsidRPr="00275EDC" w:rsidRDefault="00F0710B" w:rsidP="00E8731E">
            <w:pPr>
              <w:ind w:right="321"/>
              <w:rPr>
                <w:color w:val="000000"/>
              </w:rPr>
            </w:pPr>
            <w:r w:rsidRPr="00275EDC">
              <w:rPr>
                <w:color w:val="000000"/>
              </w:rPr>
              <w:t>OVS Completes Review and Approves Values</w:t>
            </w:r>
          </w:p>
        </w:tc>
        <w:tc>
          <w:tcPr>
            <w:tcW w:w="0" w:type="auto"/>
            <w:shd w:val="clear" w:color="auto" w:fill="auto"/>
            <w:vAlign w:val="center"/>
          </w:tcPr>
          <w:p w14:paraId="26D173C2" w14:textId="77777777" w:rsidR="00F0710B" w:rsidRPr="00275EDC" w:rsidRDefault="00F0710B" w:rsidP="00E8731E">
            <w:pPr>
              <w:ind w:right="321"/>
              <w:rPr>
                <w:color w:val="000000"/>
              </w:rPr>
            </w:pPr>
            <w:r w:rsidRPr="00275EDC">
              <w:rPr>
                <w:color w:val="000000"/>
              </w:rPr>
              <w:t>01/17/2012</w:t>
            </w:r>
          </w:p>
        </w:tc>
      </w:tr>
      <w:tr w:rsidR="00F0710B" w:rsidRPr="00275EDC" w14:paraId="22D2F661" w14:textId="77777777" w:rsidTr="00E8731E">
        <w:tc>
          <w:tcPr>
            <w:tcW w:w="0" w:type="auto"/>
            <w:shd w:val="clear" w:color="auto" w:fill="auto"/>
            <w:vAlign w:val="center"/>
          </w:tcPr>
          <w:p w14:paraId="1A0F6F1C" w14:textId="77777777" w:rsidR="00F0710B" w:rsidRPr="00275EDC" w:rsidRDefault="00F0710B" w:rsidP="00E8731E">
            <w:pPr>
              <w:ind w:right="321"/>
              <w:rPr>
                <w:color w:val="000000"/>
              </w:rPr>
            </w:pPr>
            <w:r w:rsidRPr="00275EDC">
              <w:rPr>
                <w:color w:val="000000"/>
              </w:rPr>
              <w:t>Appraisal Consultation – OVS Confirms Current Values</w:t>
            </w:r>
            <w:r>
              <w:rPr>
                <w:color w:val="000000"/>
              </w:rPr>
              <w:t xml:space="preserve"> to end of CY</w:t>
            </w:r>
          </w:p>
        </w:tc>
        <w:tc>
          <w:tcPr>
            <w:tcW w:w="0" w:type="auto"/>
            <w:shd w:val="clear" w:color="auto" w:fill="auto"/>
            <w:vAlign w:val="center"/>
          </w:tcPr>
          <w:p w14:paraId="5D26568B" w14:textId="77777777" w:rsidR="00F0710B" w:rsidRPr="00275EDC" w:rsidRDefault="00F0710B" w:rsidP="00E8731E">
            <w:pPr>
              <w:ind w:right="321"/>
              <w:rPr>
                <w:color w:val="000000"/>
              </w:rPr>
            </w:pPr>
            <w:r w:rsidRPr="00275EDC">
              <w:rPr>
                <w:color w:val="000000"/>
              </w:rPr>
              <w:t>01/15/2013</w:t>
            </w:r>
          </w:p>
        </w:tc>
      </w:tr>
      <w:tr w:rsidR="00F0710B" w:rsidRPr="00275EDC" w14:paraId="59C30473" w14:textId="77777777" w:rsidTr="00E8731E">
        <w:tc>
          <w:tcPr>
            <w:tcW w:w="0" w:type="auto"/>
            <w:shd w:val="clear" w:color="auto" w:fill="auto"/>
            <w:vAlign w:val="center"/>
          </w:tcPr>
          <w:p w14:paraId="12429F96" w14:textId="77777777" w:rsidR="00F0710B" w:rsidRPr="00275EDC" w:rsidRDefault="00F0710B" w:rsidP="00E873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rPr>
            </w:pPr>
            <w:r w:rsidRPr="00275EDC">
              <w:rPr>
                <w:color w:val="000000"/>
              </w:rPr>
              <w:t xml:space="preserve">BLM Cadastral Survey – Dependent Resurvey Group 2329 </w:t>
            </w:r>
            <w:r w:rsidRPr="00275EDC">
              <w:rPr>
                <w:bCs/>
                <w:color w:val="000000"/>
              </w:rPr>
              <w:t>completed</w:t>
            </w:r>
          </w:p>
        </w:tc>
        <w:tc>
          <w:tcPr>
            <w:tcW w:w="0" w:type="auto"/>
            <w:shd w:val="clear" w:color="auto" w:fill="auto"/>
            <w:vAlign w:val="center"/>
          </w:tcPr>
          <w:p w14:paraId="20F107C0" w14:textId="77777777" w:rsidR="00F0710B" w:rsidRPr="00275EDC" w:rsidRDefault="00F0710B" w:rsidP="00E8731E">
            <w:pPr>
              <w:ind w:right="321"/>
              <w:rPr>
                <w:color w:val="000000"/>
              </w:rPr>
            </w:pPr>
            <w:r w:rsidRPr="00275EDC">
              <w:rPr>
                <w:color w:val="000000"/>
              </w:rPr>
              <w:t>08/01/2011</w:t>
            </w:r>
          </w:p>
        </w:tc>
      </w:tr>
      <w:tr w:rsidR="00F0710B" w:rsidRPr="00275EDC" w14:paraId="2FFC9158" w14:textId="77777777" w:rsidTr="00E8731E">
        <w:tc>
          <w:tcPr>
            <w:tcW w:w="0" w:type="auto"/>
            <w:shd w:val="clear" w:color="auto" w:fill="auto"/>
            <w:vAlign w:val="center"/>
          </w:tcPr>
          <w:p w14:paraId="298E965B" w14:textId="77777777" w:rsidR="00F0710B" w:rsidRPr="00275EDC" w:rsidRDefault="00F0710B" w:rsidP="00E873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275EDC">
              <w:rPr>
                <w:color w:val="000000"/>
              </w:rPr>
              <w:t>BLM Cadastral Survey – LDR completed</w:t>
            </w:r>
          </w:p>
        </w:tc>
        <w:tc>
          <w:tcPr>
            <w:tcW w:w="0" w:type="auto"/>
            <w:shd w:val="clear" w:color="auto" w:fill="auto"/>
            <w:vAlign w:val="center"/>
          </w:tcPr>
          <w:p w14:paraId="5E2AEE15" w14:textId="77777777" w:rsidR="00F0710B" w:rsidRPr="00275EDC" w:rsidRDefault="00F0710B" w:rsidP="00E8731E">
            <w:pPr>
              <w:ind w:right="321"/>
              <w:rPr>
                <w:color w:val="000000"/>
              </w:rPr>
            </w:pPr>
            <w:r w:rsidRPr="00275EDC">
              <w:rPr>
                <w:color w:val="000000"/>
              </w:rPr>
              <w:t>05/11/2012</w:t>
            </w:r>
          </w:p>
        </w:tc>
      </w:tr>
      <w:tr w:rsidR="00F0710B" w:rsidRPr="00275EDC" w14:paraId="3EADD260" w14:textId="77777777" w:rsidTr="00E8731E">
        <w:tc>
          <w:tcPr>
            <w:tcW w:w="0" w:type="auto"/>
            <w:shd w:val="clear" w:color="auto" w:fill="auto"/>
            <w:vAlign w:val="center"/>
          </w:tcPr>
          <w:p w14:paraId="07609E29" w14:textId="77777777" w:rsidR="00F0710B" w:rsidRPr="00275EDC" w:rsidRDefault="00F0710B" w:rsidP="00E8731E">
            <w:pPr>
              <w:spacing w:line="240" w:lineRule="atLeast"/>
              <w:rPr>
                <w:b/>
                <w:color w:val="000000"/>
              </w:rPr>
            </w:pPr>
            <w:r w:rsidRPr="00275EDC">
              <w:rPr>
                <w:b/>
                <w:bCs/>
                <w:color w:val="000000"/>
              </w:rPr>
              <w:t xml:space="preserve">Hazardous Materials Inventories  </w:t>
            </w:r>
          </w:p>
        </w:tc>
        <w:tc>
          <w:tcPr>
            <w:tcW w:w="0" w:type="auto"/>
            <w:shd w:val="clear" w:color="auto" w:fill="auto"/>
            <w:vAlign w:val="center"/>
          </w:tcPr>
          <w:p w14:paraId="20A03F6C" w14:textId="77777777" w:rsidR="00F0710B" w:rsidRPr="00275EDC" w:rsidRDefault="00F0710B" w:rsidP="00E8731E">
            <w:pPr>
              <w:ind w:right="321"/>
            </w:pPr>
          </w:p>
        </w:tc>
      </w:tr>
      <w:tr w:rsidR="00F0710B" w:rsidRPr="00275EDC" w14:paraId="7C6B3A6B" w14:textId="77777777" w:rsidTr="00E8731E">
        <w:tc>
          <w:tcPr>
            <w:tcW w:w="0" w:type="auto"/>
            <w:shd w:val="clear" w:color="auto" w:fill="auto"/>
            <w:vAlign w:val="center"/>
          </w:tcPr>
          <w:p w14:paraId="2D6C72EF" w14:textId="77777777" w:rsidR="00F0710B" w:rsidRPr="00275EDC" w:rsidRDefault="00F0710B" w:rsidP="00E8731E">
            <w:pPr>
              <w:ind w:right="321"/>
            </w:pPr>
            <w:r w:rsidRPr="00275EDC">
              <w:rPr>
                <w:color w:val="000000"/>
              </w:rPr>
              <w:t>Work initiated by BLM Staff Assistant EP</w:t>
            </w:r>
          </w:p>
        </w:tc>
        <w:tc>
          <w:tcPr>
            <w:tcW w:w="0" w:type="auto"/>
            <w:shd w:val="clear" w:color="auto" w:fill="auto"/>
            <w:vAlign w:val="center"/>
          </w:tcPr>
          <w:p w14:paraId="34820E4C" w14:textId="77777777" w:rsidR="00F0710B" w:rsidRPr="00275EDC" w:rsidRDefault="00F0710B" w:rsidP="00E8731E">
            <w:pPr>
              <w:ind w:right="321"/>
            </w:pPr>
            <w:r w:rsidRPr="00275EDC">
              <w:rPr>
                <w:color w:val="000000"/>
              </w:rPr>
              <w:t>06/01/2011</w:t>
            </w:r>
          </w:p>
        </w:tc>
      </w:tr>
      <w:tr w:rsidR="00F0710B" w:rsidRPr="00275EDC" w14:paraId="7BB0111E" w14:textId="77777777" w:rsidTr="00E8731E">
        <w:tc>
          <w:tcPr>
            <w:tcW w:w="0" w:type="auto"/>
            <w:shd w:val="clear" w:color="auto" w:fill="auto"/>
            <w:vAlign w:val="center"/>
          </w:tcPr>
          <w:p w14:paraId="38AD1FA5" w14:textId="77777777" w:rsidR="00F0710B" w:rsidRPr="00275EDC" w:rsidRDefault="00F0710B" w:rsidP="00E8731E">
            <w:pPr>
              <w:tabs>
                <w:tab w:val="left" w:pos="0"/>
                <w:tab w:val="right" w:leader="dot" w:pos="9356"/>
              </w:tabs>
            </w:pPr>
            <w:r w:rsidRPr="00275EDC">
              <w:rPr>
                <w:color w:val="000000"/>
              </w:rPr>
              <w:t>ESA and PALS report completed and approved by BLM</w:t>
            </w:r>
          </w:p>
        </w:tc>
        <w:tc>
          <w:tcPr>
            <w:tcW w:w="0" w:type="auto"/>
            <w:shd w:val="clear" w:color="auto" w:fill="auto"/>
            <w:vAlign w:val="center"/>
          </w:tcPr>
          <w:p w14:paraId="64A3D1AF" w14:textId="77777777" w:rsidR="00F0710B" w:rsidRPr="00275EDC" w:rsidRDefault="00F0710B" w:rsidP="00E8731E">
            <w:pPr>
              <w:ind w:right="321"/>
            </w:pPr>
            <w:r w:rsidRPr="00275EDC">
              <w:rPr>
                <w:color w:val="000000"/>
              </w:rPr>
              <w:t>10/23/2012</w:t>
            </w:r>
          </w:p>
        </w:tc>
      </w:tr>
      <w:tr w:rsidR="00F0710B" w:rsidRPr="00275EDC" w14:paraId="6FCACAC1" w14:textId="77777777" w:rsidTr="00E8731E">
        <w:tc>
          <w:tcPr>
            <w:tcW w:w="0" w:type="auto"/>
            <w:shd w:val="clear" w:color="auto" w:fill="auto"/>
            <w:vAlign w:val="center"/>
          </w:tcPr>
          <w:p w14:paraId="2C8DB757" w14:textId="53E5D5F1" w:rsidR="00F0710B" w:rsidRPr="00275EDC" w:rsidRDefault="00F0710B" w:rsidP="00E8731E">
            <w:pPr>
              <w:tabs>
                <w:tab w:val="left" w:pos="0"/>
                <w:tab w:val="right" w:leader="dot" w:pos="9356"/>
              </w:tabs>
              <w:rPr>
                <w:color w:val="000000"/>
              </w:rPr>
            </w:pPr>
            <w:r w:rsidRPr="00275EDC">
              <w:rPr>
                <w:color w:val="000000"/>
              </w:rPr>
              <w:t>PALS report</w:t>
            </w:r>
            <w:r>
              <w:rPr>
                <w:color w:val="000000"/>
              </w:rPr>
              <w:t xml:space="preserve"> </w:t>
            </w:r>
            <w:r w:rsidR="00997A0C" w:rsidRPr="00275EDC">
              <w:rPr>
                <w:color w:val="000000"/>
              </w:rPr>
              <w:t>–</w:t>
            </w:r>
            <w:r>
              <w:rPr>
                <w:color w:val="000000"/>
              </w:rPr>
              <w:t xml:space="preserve"> Update</w:t>
            </w:r>
          </w:p>
        </w:tc>
        <w:tc>
          <w:tcPr>
            <w:tcW w:w="0" w:type="auto"/>
            <w:shd w:val="clear" w:color="auto" w:fill="auto"/>
            <w:vAlign w:val="center"/>
          </w:tcPr>
          <w:p w14:paraId="53BF5FCB" w14:textId="77777777" w:rsidR="00F0710B" w:rsidRPr="00275EDC" w:rsidRDefault="00F0710B" w:rsidP="00E8731E">
            <w:pPr>
              <w:ind w:right="321"/>
              <w:rPr>
                <w:color w:val="000000"/>
              </w:rPr>
            </w:pPr>
            <w:r>
              <w:rPr>
                <w:color w:val="000000"/>
              </w:rPr>
              <w:t>02/21/2013</w:t>
            </w:r>
          </w:p>
        </w:tc>
      </w:tr>
      <w:tr w:rsidR="00F0710B" w:rsidRPr="00275EDC" w14:paraId="2D224C48" w14:textId="77777777" w:rsidTr="00E8731E">
        <w:tc>
          <w:tcPr>
            <w:tcW w:w="0" w:type="auto"/>
            <w:shd w:val="clear" w:color="auto" w:fill="auto"/>
            <w:vAlign w:val="center"/>
          </w:tcPr>
          <w:p w14:paraId="51D1506A" w14:textId="77777777" w:rsidR="00F0710B" w:rsidRPr="00275EDC" w:rsidRDefault="00F0710B" w:rsidP="00E8731E">
            <w:pPr>
              <w:ind w:right="321"/>
              <w:rPr>
                <w:b/>
              </w:rPr>
            </w:pPr>
            <w:r w:rsidRPr="00275EDC">
              <w:rPr>
                <w:b/>
              </w:rPr>
              <w:t>NEPA – Environmental Assessment Process</w:t>
            </w:r>
          </w:p>
        </w:tc>
        <w:tc>
          <w:tcPr>
            <w:tcW w:w="0" w:type="auto"/>
            <w:shd w:val="clear" w:color="auto" w:fill="auto"/>
            <w:vAlign w:val="center"/>
          </w:tcPr>
          <w:p w14:paraId="6606C78D" w14:textId="77777777" w:rsidR="00F0710B" w:rsidRPr="00275EDC" w:rsidRDefault="00F0710B" w:rsidP="00E8731E">
            <w:pPr>
              <w:ind w:right="321"/>
            </w:pPr>
          </w:p>
        </w:tc>
      </w:tr>
      <w:tr w:rsidR="00F0710B" w:rsidRPr="00275EDC" w14:paraId="0F831ABF" w14:textId="77777777" w:rsidTr="00E8731E">
        <w:tc>
          <w:tcPr>
            <w:tcW w:w="0" w:type="auto"/>
            <w:shd w:val="clear" w:color="auto" w:fill="auto"/>
            <w:vAlign w:val="center"/>
          </w:tcPr>
          <w:p w14:paraId="17D53AC1" w14:textId="77777777" w:rsidR="00F0710B" w:rsidRPr="00275EDC" w:rsidRDefault="00F0710B" w:rsidP="00E8731E">
            <w:pPr>
              <w:ind w:right="321"/>
            </w:pPr>
            <w:r w:rsidRPr="00275EDC">
              <w:t>NEPA Field Work Initiated Cultural/Botanical/Wildlife Inspections</w:t>
            </w:r>
          </w:p>
        </w:tc>
        <w:tc>
          <w:tcPr>
            <w:tcW w:w="0" w:type="auto"/>
            <w:shd w:val="clear" w:color="auto" w:fill="auto"/>
            <w:vAlign w:val="center"/>
          </w:tcPr>
          <w:p w14:paraId="6A3BB45C" w14:textId="77777777" w:rsidR="00F0710B" w:rsidRPr="00275EDC" w:rsidRDefault="00F0710B" w:rsidP="00E8731E">
            <w:pPr>
              <w:ind w:right="321"/>
            </w:pPr>
            <w:r w:rsidRPr="00275EDC">
              <w:t>06/01/2011</w:t>
            </w:r>
          </w:p>
        </w:tc>
      </w:tr>
      <w:tr w:rsidR="00F0710B" w:rsidRPr="00275EDC" w14:paraId="7B232CA0" w14:textId="77777777" w:rsidTr="00E8731E">
        <w:tc>
          <w:tcPr>
            <w:tcW w:w="0" w:type="auto"/>
            <w:shd w:val="clear" w:color="auto" w:fill="auto"/>
            <w:vAlign w:val="center"/>
          </w:tcPr>
          <w:p w14:paraId="33A5C563" w14:textId="77777777" w:rsidR="00F0710B" w:rsidRPr="00275EDC" w:rsidRDefault="00F0710B" w:rsidP="00E8731E">
            <w:pPr>
              <w:ind w:right="321"/>
            </w:pPr>
            <w:r w:rsidRPr="00275EDC">
              <w:t>Environmental Assessment Report draft completed</w:t>
            </w:r>
          </w:p>
        </w:tc>
        <w:tc>
          <w:tcPr>
            <w:tcW w:w="0" w:type="auto"/>
            <w:shd w:val="clear" w:color="auto" w:fill="auto"/>
            <w:vAlign w:val="center"/>
          </w:tcPr>
          <w:p w14:paraId="7992430C" w14:textId="77777777" w:rsidR="00F0710B" w:rsidRPr="00275EDC" w:rsidRDefault="00F0710B" w:rsidP="00E8731E">
            <w:pPr>
              <w:ind w:right="321"/>
            </w:pPr>
            <w:r w:rsidRPr="00275EDC">
              <w:t>05/01/2013</w:t>
            </w:r>
          </w:p>
        </w:tc>
      </w:tr>
      <w:tr w:rsidR="00F0710B" w:rsidRPr="00275EDC" w14:paraId="506A35D1" w14:textId="77777777" w:rsidTr="00E8731E">
        <w:tc>
          <w:tcPr>
            <w:tcW w:w="0" w:type="auto"/>
            <w:shd w:val="clear" w:color="auto" w:fill="auto"/>
            <w:vAlign w:val="center"/>
          </w:tcPr>
          <w:p w14:paraId="0F73ED57" w14:textId="77777777" w:rsidR="00F0710B" w:rsidRPr="00275EDC" w:rsidRDefault="00F0710B" w:rsidP="00E8731E">
            <w:pPr>
              <w:ind w:right="321"/>
            </w:pPr>
            <w:r w:rsidRPr="00275EDC">
              <w:t>Notice of Availability of EA Issued with NOEP</w:t>
            </w:r>
          </w:p>
        </w:tc>
        <w:tc>
          <w:tcPr>
            <w:tcW w:w="0" w:type="auto"/>
            <w:shd w:val="clear" w:color="auto" w:fill="auto"/>
            <w:vAlign w:val="center"/>
          </w:tcPr>
          <w:p w14:paraId="6D64D5C7" w14:textId="77777777" w:rsidR="00F0710B" w:rsidRPr="00275EDC" w:rsidRDefault="00F0710B" w:rsidP="00E8731E">
            <w:pPr>
              <w:ind w:right="321"/>
            </w:pPr>
            <w:r w:rsidRPr="00275EDC">
              <w:t>07/15/2013</w:t>
            </w:r>
          </w:p>
        </w:tc>
      </w:tr>
      <w:tr w:rsidR="00F0710B" w:rsidRPr="00275EDC" w14:paraId="08F2FF27" w14:textId="77777777" w:rsidTr="00E8731E">
        <w:tc>
          <w:tcPr>
            <w:tcW w:w="0" w:type="auto"/>
            <w:shd w:val="clear" w:color="auto" w:fill="auto"/>
            <w:vAlign w:val="center"/>
          </w:tcPr>
          <w:p w14:paraId="159F7CF4" w14:textId="77777777" w:rsidR="00F0710B" w:rsidRPr="00275EDC" w:rsidRDefault="00F0710B" w:rsidP="00E8731E">
            <w:pPr>
              <w:ind w:right="321"/>
              <w:rPr>
                <w:b/>
              </w:rPr>
            </w:pPr>
            <w:r w:rsidRPr="00275EDC">
              <w:rPr>
                <w:b/>
              </w:rPr>
              <w:t>Decision Stage</w:t>
            </w:r>
          </w:p>
        </w:tc>
        <w:tc>
          <w:tcPr>
            <w:tcW w:w="0" w:type="auto"/>
            <w:shd w:val="clear" w:color="auto" w:fill="auto"/>
            <w:vAlign w:val="center"/>
          </w:tcPr>
          <w:p w14:paraId="228950F1" w14:textId="77777777" w:rsidR="00F0710B" w:rsidRPr="00275EDC" w:rsidRDefault="00F0710B" w:rsidP="00E8731E">
            <w:pPr>
              <w:ind w:right="321"/>
            </w:pPr>
          </w:p>
        </w:tc>
      </w:tr>
      <w:tr w:rsidR="00F0710B" w:rsidRPr="00275EDC" w14:paraId="3D540A53" w14:textId="77777777" w:rsidTr="00E8731E">
        <w:tc>
          <w:tcPr>
            <w:tcW w:w="0" w:type="auto"/>
            <w:shd w:val="clear" w:color="auto" w:fill="auto"/>
            <w:vAlign w:val="center"/>
          </w:tcPr>
          <w:p w14:paraId="6D332739" w14:textId="77777777" w:rsidR="00F0710B" w:rsidRPr="00275EDC" w:rsidRDefault="00F0710B" w:rsidP="00E8731E">
            <w:pPr>
              <w:ind w:right="321"/>
            </w:pPr>
            <w:r w:rsidRPr="00275EDC">
              <w:t>Draft Decision Package to Solicitor and NLET for Informal Review</w:t>
            </w:r>
          </w:p>
        </w:tc>
        <w:tc>
          <w:tcPr>
            <w:tcW w:w="0" w:type="auto"/>
            <w:shd w:val="clear" w:color="auto" w:fill="auto"/>
            <w:vAlign w:val="center"/>
          </w:tcPr>
          <w:p w14:paraId="5E74AE6A" w14:textId="6CD111F4" w:rsidR="00F0710B" w:rsidRPr="00275EDC" w:rsidRDefault="008A5B90" w:rsidP="00512DE0">
            <w:pPr>
              <w:ind w:right="321"/>
            </w:pPr>
            <w:r>
              <w:t>10</w:t>
            </w:r>
            <w:r w:rsidR="00F0710B" w:rsidRPr="00275EDC">
              <w:t>/01/2013</w:t>
            </w:r>
          </w:p>
        </w:tc>
      </w:tr>
      <w:tr w:rsidR="00F0710B" w:rsidRPr="00275EDC" w14:paraId="28E5C03A" w14:textId="77777777" w:rsidTr="00E8731E">
        <w:tc>
          <w:tcPr>
            <w:tcW w:w="0" w:type="auto"/>
            <w:shd w:val="clear" w:color="auto" w:fill="auto"/>
            <w:vAlign w:val="center"/>
          </w:tcPr>
          <w:p w14:paraId="5C1CE89E" w14:textId="0227D8AA" w:rsidR="00F0710B" w:rsidRPr="00275EDC" w:rsidRDefault="00F0710B" w:rsidP="00E8731E">
            <w:pPr>
              <w:ind w:right="321"/>
            </w:pPr>
            <w:r w:rsidRPr="00275EDC">
              <w:t>Comments from Solicitor and NLET included in the Formal Review Package sent to the W</w:t>
            </w:r>
            <w:r w:rsidR="00112FF4">
              <w:t xml:space="preserve">ashington </w:t>
            </w:r>
            <w:r w:rsidRPr="00275EDC">
              <w:t>O</w:t>
            </w:r>
            <w:r w:rsidR="009A3471">
              <w:t>ffic</w:t>
            </w:r>
            <w:r w:rsidR="00112FF4">
              <w:t>e</w:t>
            </w:r>
          </w:p>
        </w:tc>
        <w:tc>
          <w:tcPr>
            <w:tcW w:w="0" w:type="auto"/>
            <w:shd w:val="clear" w:color="auto" w:fill="auto"/>
            <w:vAlign w:val="center"/>
          </w:tcPr>
          <w:p w14:paraId="5C14E6C3" w14:textId="29F4B6E8" w:rsidR="00F0710B" w:rsidRPr="00275EDC" w:rsidRDefault="00512DE0" w:rsidP="00512DE0">
            <w:pPr>
              <w:ind w:right="321"/>
            </w:pPr>
            <w:r>
              <w:t>1</w:t>
            </w:r>
            <w:r w:rsidR="00F0710B" w:rsidRPr="00275EDC">
              <w:t>0/01/2013</w:t>
            </w:r>
          </w:p>
        </w:tc>
      </w:tr>
      <w:tr w:rsidR="00F0710B" w:rsidRPr="00275EDC" w14:paraId="0C1B345E" w14:textId="77777777" w:rsidTr="00E8731E">
        <w:tc>
          <w:tcPr>
            <w:tcW w:w="0" w:type="auto"/>
            <w:shd w:val="clear" w:color="auto" w:fill="auto"/>
            <w:vAlign w:val="center"/>
          </w:tcPr>
          <w:p w14:paraId="110C2E71" w14:textId="77777777" w:rsidR="00F0710B" w:rsidRPr="00275EDC" w:rsidRDefault="00F0710B" w:rsidP="00E8731E">
            <w:pPr>
              <w:ind w:right="321"/>
            </w:pPr>
            <w:r w:rsidRPr="00275EDC">
              <w:t>Decision Package Approved by the Director</w:t>
            </w:r>
          </w:p>
        </w:tc>
        <w:tc>
          <w:tcPr>
            <w:tcW w:w="0" w:type="auto"/>
            <w:shd w:val="clear" w:color="auto" w:fill="auto"/>
            <w:vAlign w:val="center"/>
          </w:tcPr>
          <w:p w14:paraId="1B5E4F76" w14:textId="70F9D273" w:rsidR="00F0710B" w:rsidRPr="00275EDC" w:rsidRDefault="00F0710B" w:rsidP="00512DE0">
            <w:pPr>
              <w:ind w:right="321"/>
            </w:pPr>
            <w:r w:rsidRPr="00275EDC">
              <w:t>1</w:t>
            </w:r>
            <w:r w:rsidR="00512DE0">
              <w:t>2</w:t>
            </w:r>
            <w:r w:rsidRPr="00275EDC">
              <w:t>/01/2013</w:t>
            </w:r>
          </w:p>
        </w:tc>
      </w:tr>
      <w:tr w:rsidR="00F0710B" w:rsidRPr="00275EDC" w14:paraId="48531A44" w14:textId="77777777" w:rsidTr="00E8731E">
        <w:tc>
          <w:tcPr>
            <w:tcW w:w="0" w:type="auto"/>
            <w:shd w:val="clear" w:color="auto" w:fill="auto"/>
            <w:vAlign w:val="center"/>
          </w:tcPr>
          <w:p w14:paraId="0AB4AD1A" w14:textId="65C6D466" w:rsidR="00F0710B" w:rsidRPr="00275EDC" w:rsidRDefault="00F0710B" w:rsidP="00E8731E">
            <w:pPr>
              <w:ind w:right="321"/>
            </w:pPr>
            <w:r w:rsidRPr="00275EDC">
              <w:t>NOD published</w:t>
            </w:r>
          </w:p>
        </w:tc>
        <w:tc>
          <w:tcPr>
            <w:tcW w:w="0" w:type="auto"/>
            <w:shd w:val="clear" w:color="auto" w:fill="auto"/>
            <w:vAlign w:val="center"/>
          </w:tcPr>
          <w:p w14:paraId="506185B4" w14:textId="5C054899" w:rsidR="00F0710B" w:rsidRPr="00275EDC" w:rsidRDefault="00512DE0" w:rsidP="00E8731E">
            <w:pPr>
              <w:ind w:right="321"/>
            </w:pPr>
            <w:r>
              <w:t>12/</w:t>
            </w:r>
            <w:r w:rsidR="00F0710B" w:rsidRPr="00275EDC">
              <w:t>1</w:t>
            </w:r>
            <w:r>
              <w:t>5</w:t>
            </w:r>
            <w:r w:rsidR="00F0710B" w:rsidRPr="00275EDC">
              <w:t>/2013</w:t>
            </w:r>
          </w:p>
        </w:tc>
      </w:tr>
      <w:tr w:rsidR="00F0710B" w:rsidRPr="00275EDC" w14:paraId="1E165DC9" w14:textId="77777777" w:rsidTr="00E8731E">
        <w:tc>
          <w:tcPr>
            <w:tcW w:w="0" w:type="auto"/>
            <w:shd w:val="clear" w:color="auto" w:fill="auto"/>
            <w:vAlign w:val="center"/>
          </w:tcPr>
          <w:p w14:paraId="37236E4E" w14:textId="77777777" w:rsidR="00F0710B" w:rsidRPr="00275EDC" w:rsidRDefault="00F0710B" w:rsidP="00E8731E">
            <w:pPr>
              <w:ind w:right="321"/>
            </w:pPr>
            <w:r w:rsidRPr="00275EDC">
              <w:t>Binding Exchange Agreement signed by both parties</w:t>
            </w:r>
          </w:p>
        </w:tc>
        <w:tc>
          <w:tcPr>
            <w:tcW w:w="0" w:type="auto"/>
            <w:shd w:val="clear" w:color="auto" w:fill="auto"/>
            <w:vAlign w:val="center"/>
          </w:tcPr>
          <w:p w14:paraId="654B8ABD" w14:textId="77777777" w:rsidR="00F0710B" w:rsidRPr="00275EDC" w:rsidRDefault="00F0710B" w:rsidP="00E8731E">
            <w:pPr>
              <w:ind w:right="321"/>
            </w:pPr>
            <w:r w:rsidRPr="00275EDC">
              <w:t>01/15/2014</w:t>
            </w:r>
          </w:p>
        </w:tc>
      </w:tr>
      <w:tr w:rsidR="00F0710B" w:rsidRPr="00275EDC" w14:paraId="2E40AD77" w14:textId="77777777" w:rsidTr="00E8731E">
        <w:tc>
          <w:tcPr>
            <w:tcW w:w="0" w:type="auto"/>
            <w:shd w:val="clear" w:color="auto" w:fill="auto"/>
            <w:vAlign w:val="center"/>
          </w:tcPr>
          <w:p w14:paraId="5B18BBCA" w14:textId="77777777" w:rsidR="00F0710B" w:rsidRPr="00275EDC" w:rsidRDefault="00F0710B" w:rsidP="00E8731E">
            <w:pPr>
              <w:ind w:right="321"/>
            </w:pPr>
            <w:r w:rsidRPr="00275EDC">
              <w:t>First Certificate of Inspection and Possession</w:t>
            </w:r>
          </w:p>
        </w:tc>
        <w:tc>
          <w:tcPr>
            <w:tcW w:w="0" w:type="auto"/>
            <w:shd w:val="clear" w:color="auto" w:fill="auto"/>
            <w:vAlign w:val="center"/>
          </w:tcPr>
          <w:p w14:paraId="5EE91111" w14:textId="77777777" w:rsidR="00F0710B" w:rsidRPr="00275EDC" w:rsidRDefault="00F0710B" w:rsidP="00E8731E">
            <w:pPr>
              <w:ind w:right="321"/>
            </w:pPr>
            <w:r w:rsidRPr="00275EDC">
              <w:t>02/01/2014</w:t>
            </w:r>
          </w:p>
        </w:tc>
      </w:tr>
      <w:tr w:rsidR="00F0710B" w:rsidRPr="00275EDC" w14:paraId="18D1D243" w14:textId="77777777" w:rsidTr="00E8731E">
        <w:tc>
          <w:tcPr>
            <w:tcW w:w="0" w:type="auto"/>
            <w:shd w:val="clear" w:color="auto" w:fill="auto"/>
            <w:vAlign w:val="center"/>
          </w:tcPr>
          <w:p w14:paraId="024B847A" w14:textId="77777777" w:rsidR="00F0710B" w:rsidRPr="00275EDC" w:rsidRDefault="00F0710B" w:rsidP="00E8731E">
            <w:pPr>
              <w:ind w:right="321"/>
            </w:pPr>
            <w:r w:rsidRPr="00275EDC">
              <w:t>Submit Request for Preliminary Title Opinion</w:t>
            </w:r>
          </w:p>
        </w:tc>
        <w:tc>
          <w:tcPr>
            <w:tcW w:w="0" w:type="auto"/>
            <w:shd w:val="clear" w:color="auto" w:fill="auto"/>
            <w:vAlign w:val="center"/>
          </w:tcPr>
          <w:p w14:paraId="2625F26C" w14:textId="77777777" w:rsidR="00F0710B" w:rsidRPr="00275EDC" w:rsidRDefault="00F0710B" w:rsidP="00E8731E">
            <w:pPr>
              <w:ind w:right="321"/>
            </w:pPr>
            <w:r w:rsidRPr="00275EDC">
              <w:t>02/15/2014</w:t>
            </w:r>
          </w:p>
        </w:tc>
      </w:tr>
      <w:tr w:rsidR="00F0710B" w:rsidRPr="00275EDC" w14:paraId="2EB69698" w14:textId="77777777" w:rsidTr="00E8731E">
        <w:tc>
          <w:tcPr>
            <w:tcW w:w="0" w:type="auto"/>
            <w:shd w:val="clear" w:color="auto" w:fill="auto"/>
            <w:vAlign w:val="center"/>
          </w:tcPr>
          <w:p w14:paraId="447C0139" w14:textId="77777777" w:rsidR="00F0710B" w:rsidRPr="00275EDC" w:rsidRDefault="00F0710B" w:rsidP="00E8731E">
            <w:pPr>
              <w:ind w:right="321"/>
            </w:pPr>
            <w:r w:rsidRPr="00275EDC">
              <w:t>Second Certificate of Inspection and Possession</w:t>
            </w:r>
          </w:p>
        </w:tc>
        <w:tc>
          <w:tcPr>
            <w:tcW w:w="0" w:type="auto"/>
            <w:shd w:val="clear" w:color="auto" w:fill="auto"/>
            <w:vAlign w:val="center"/>
          </w:tcPr>
          <w:p w14:paraId="6447B9FA" w14:textId="77777777" w:rsidR="00F0710B" w:rsidRPr="00275EDC" w:rsidRDefault="00F0710B" w:rsidP="00E8731E">
            <w:pPr>
              <w:ind w:right="321"/>
            </w:pPr>
            <w:r w:rsidRPr="00275EDC">
              <w:t>04/01/2014</w:t>
            </w:r>
          </w:p>
        </w:tc>
      </w:tr>
      <w:tr w:rsidR="00F0710B" w:rsidRPr="00275EDC" w14:paraId="57D3ADBA" w14:textId="77777777" w:rsidTr="00E8731E">
        <w:tc>
          <w:tcPr>
            <w:tcW w:w="0" w:type="auto"/>
            <w:shd w:val="clear" w:color="auto" w:fill="auto"/>
            <w:vAlign w:val="center"/>
          </w:tcPr>
          <w:p w14:paraId="2DBC18D7" w14:textId="77777777" w:rsidR="00F0710B" w:rsidRPr="00275EDC" w:rsidRDefault="00F0710B" w:rsidP="00E8731E">
            <w:pPr>
              <w:ind w:right="321"/>
            </w:pPr>
            <w:r w:rsidRPr="00275EDC">
              <w:t>Complete Closing Actions – Record Deeds</w:t>
            </w:r>
          </w:p>
        </w:tc>
        <w:tc>
          <w:tcPr>
            <w:tcW w:w="0" w:type="auto"/>
            <w:shd w:val="clear" w:color="auto" w:fill="auto"/>
            <w:vAlign w:val="center"/>
          </w:tcPr>
          <w:p w14:paraId="2411BEDB" w14:textId="77777777" w:rsidR="00F0710B" w:rsidRPr="00275EDC" w:rsidRDefault="00F0710B" w:rsidP="00E8731E">
            <w:pPr>
              <w:ind w:right="321"/>
            </w:pPr>
            <w:r w:rsidRPr="00275EDC">
              <w:t>06/01/2014</w:t>
            </w:r>
          </w:p>
        </w:tc>
      </w:tr>
      <w:tr w:rsidR="00F0710B" w:rsidRPr="00275EDC" w14:paraId="4D5E08A8" w14:textId="77777777" w:rsidTr="00E8731E">
        <w:tc>
          <w:tcPr>
            <w:tcW w:w="0" w:type="auto"/>
            <w:shd w:val="clear" w:color="auto" w:fill="auto"/>
            <w:vAlign w:val="center"/>
          </w:tcPr>
          <w:p w14:paraId="6EBC8E10" w14:textId="77777777" w:rsidR="00F0710B" w:rsidRPr="00275EDC" w:rsidRDefault="00F0710B" w:rsidP="00E8731E">
            <w:pPr>
              <w:ind w:right="321"/>
            </w:pPr>
            <w:r w:rsidRPr="00275EDC">
              <w:t>Obtain Final Title Policy U.S. Alta Policy – 9/28/91</w:t>
            </w:r>
          </w:p>
        </w:tc>
        <w:tc>
          <w:tcPr>
            <w:tcW w:w="0" w:type="auto"/>
            <w:shd w:val="clear" w:color="auto" w:fill="auto"/>
            <w:vAlign w:val="center"/>
          </w:tcPr>
          <w:p w14:paraId="52A2DF51" w14:textId="77777777" w:rsidR="00F0710B" w:rsidRPr="00275EDC" w:rsidRDefault="00F0710B" w:rsidP="00E8731E">
            <w:pPr>
              <w:ind w:right="321"/>
            </w:pPr>
            <w:r w:rsidRPr="00275EDC">
              <w:t>06/15/2014</w:t>
            </w:r>
          </w:p>
        </w:tc>
      </w:tr>
      <w:tr w:rsidR="00F0710B" w:rsidRPr="00275EDC" w14:paraId="22A773A4" w14:textId="77777777" w:rsidTr="00E8731E">
        <w:tc>
          <w:tcPr>
            <w:tcW w:w="0" w:type="auto"/>
            <w:shd w:val="clear" w:color="auto" w:fill="auto"/>
            <w:vAlign w:val="center"/>
          </w:tcPr>
          <w:p w14:paraId="2B7EF3E4" w14:textId="77777777" w:rsidR="00F0710B" w:rsidRPr="00275EDC" w:rsidRDefault="00F0710B" w:rsidP="00E8731E">
            <w:pPr>
              <w:ind w:right="321"/>
            </w:pPr>
            <w:r w:rsidRPr="00275EDC">
              <w:t xml:space="preserve">Submit Request for Final Opinion of Title </w:t>
            </w:r>
          </w:p>
        </w:tc>
        <w:tc>
          <w:tcPr>
            <w:tcW w:w="0" w:type="auto"/>
            <w:shd w:val="clear" w:color="auto" w:fill="auto"/>
            <w:vAlign w:val="center"/>
          </w:tcPr>
          <w:p w14:paraId="405F4A05" w14:textId="77777777" w:rsidR="00F0710B" w:rsidRPr="00275EDC" w:rsidRDefault="00F0710B" w:rsidP="00E8731E">
            <w:pPr>
              <w:ind w:right="321"/>
            </w:pPr>
            <w:r w:rsidRPr="00275EDC">
              <w:t>07/01/2014</w:t>
            </w:r>
          </w:p>
        </w:tc>
      </w:tr>
      <w:tr w:rsidR="00F0710B" w:rsidRPr="00275EDC" w14:paraId="46A0602F" w14:textId="77777777" w:rsidTr="00E8731E">
        <w:tc>
          <w:tcPr>
            <w:tcW w:w="0" w:type="auto"/>
            <w:shd w:val="clear" w:color="auto" w:fill="auto"/>
            <w:vAlign w:val="center"/>
          </w:tcPr>
          <w:p w14:paraId="0D0C1B8B" w14:textId="77777777" w:rsidR="00F0710B" w:rsidRPr="00275EDC" w:rsidRDefault="00F0710B" w:rsidP="00E8731E">
            <w:pPr>
              <w:ind w:right="321"/>
            </w:pPr>
            <w:r w:rsidRPr="00275EDC">
              <w:t>Issue Notice to Governor and local governments</w:t>
            </w:r>
          </w:p>
        </w:tc>
        <w:tc>
          <w:tcPr>
            <w:tcW w:w="0" w:type="auto"/>
            <w:shd w:val="clear" w:color="auto" w:fill="auto"/>
            <w:vAlign w:val="center"/>
          </w:tcPr>
          <w:p w14:paraId="2489697B" w14:textId="77777777" w:rsidR="00F0710B" w:rsidRPr="00275EDC" w:rsidRDefault="00F0710B" w:rsidP="00E8731E">
            <w:pPr>
              <w:ind w:right="321"/>
            </w:pPr>
            <w:r w:rsidRPr="00275EDC">
              <w:t>07/01/2014</w:t>
            </w:r>
          </w:p>
        </w:tc>
      </w:tr>
    </w:tbl>
    <w:p w14:paraId="6DE225E7" w14:textId="77777777" w:rsidR="00B129E2" w:rsidRDefault="00B129E2" w:rsidP="003E5D7E">
      <w:pPr>
        <w:pStyle w:val="Style"/>
        <w:tabs>
          <w:tab w:val="left" w:pos="5"/>
          <w:tab w:val="left" w:pos="716"/>
        </w:tabs>
        <w:ind w:right="3351"/>
        <w:rPr>
          <w:b/>
        </w:rPr>
      </w:pPr>
    </w:p>
    <w:p w14:paraId="66514B1B" w14:textId="6757136F" w:rsidR="00997A0C" w:rsidRDefault="00997A0C">
      <w:pPr>
        <w:rPr>
          <w:b/>
        </w:rPr>
      </w:pPr>
      <w:r>
        <w:rPr>
          <w:b/>
        </w:rPr>
        <w:br w:type="page"/>
      </w:r>
    </w:p>
    <w:p w14:paraId="327216C3" w14:textId="77777777" w:rsidR="00751C23" w:rsidRPr="00BC6E1F" w:rsidRDefault="007D77EF" w:rsidP="003E5D7E">
      <w:pPr>
        <w:pStyle w:val="Style"/>
        <w:tabs>
          <w:tab w:val="left" w:pos="5"/>
          <w:tab w:val="left" w:pos="716"/>
        </w:tabs>
        <w:ind w:right="3351"/>
        <w:rPr>
          <w:b/>
        </w:rPr>
      </w:pPr>
      <w:r w:rsidRPr="00BC6E1F">
        <w:rPr>
          <w:b/>
        </w:rPr>
        <w:lastRenderedPageBreak/>
        <w:t>10</w:t>
      </w:r>
      <w:r w:rsidR="00751C23" w:rsidRPr="00BC6E1F">
        <w:rPr>
          <w:b/>
        </w:rPr>
        <w:t xml:space="preserve">.0 </w:t>
      </w:r>
      <w:r w:rsidR="00751C23" w:rsidRPr="00BC6E1F">
        <w:rPr>
          <w:b/>
        </w:rPr>
        <w:tab/>
      </w:r>
      <w:r w:rsidRPr="00BC6E1F">
        <w:rPr>
          <w:b/>
        </w:rPr>
        <w:t>RECOMMENDATION</w:t>
      </w:r>
    </w:p>
    <w:p w14:paraId="327216C4" w14:textId="77777777" w:rsidR="00047EF6" w:rsidRPr="00BC6E1F" w:rsidRDefault="00047EF6" w:rsidP="00E6413F">
      <w:pPr>
        <w:pStyle w:val="Style"/>
        <w:ind w:left="10" w:right="-144"/>
        <w:rPr>
          <w:b/>
        </w:rPr>
      </w:pPr>
    </w:p>
    <w:p w14:paraId="327216C5" w14:textId="505E97EC" w:rsidR="005B57DD" w:rsidRDefault="00E918CA" w:rsidP="00E6413F">
      <w:pPr>
        <w:pStyle w:val="Style"/>
        <w:ind w:left="10" w:right="-144"/>
      </w:pPr>
      <w:r>
        <w:t xml:space="preserve">Congress </w:t>
      </w:r>
      <w:r w:rsidR="007F6EBB">
        <w:t xml:space="preserve">authorized and </w:t>
      </w:r>
      <w:r>
        <w:t>directed</w:t>
      </w:r>
      <w:r w:rsidR="00E206A7" w:rsidRPr="00E206A7">
        <w:t xml:space="preserve"> this land exchange</w:t>
      </w:r>
      <w:r>
        <w:t xml:space="preserve">, subject to certain terms and conditions, presuming that the </w:t>
      </w:r>
      <w:proofErr w:type="spellStart"/>
      <w:r w:rsidR="002C1ECF">
        <w:t>McGreer</w:t>
      </w:r>
      <w:proofErr w:type="spellEnd"/>
      <w:r w:rsidR="002C1ECF">
        <w:t xml:space="preserve"> </w:t>
      </w:r>
      <w:r w:rsidR="000462BC">
        <w:t>f</w:t>
      </w:r>
      <w:r w:rsidR="002C1ECF">
        <w:t xml:space="preserve">amily </w:t>
      </w:r>
      <w:r w:rsidR="003F7A3D">
        <w:t>makes</w:t>
      </w:r>
      <w:r w:rsidR="002C1ECF">
        <w:t xml:space="preserve"> the </w:t>
      </w:r>
      <w:r>
        <w:t xml:space="preserve">appropriate </w:t>
      </w:r>
      <w:r w:rsidR="002C1ECF">
        <w:t>exchange proposal</w:t>
      </w:r>
      <w:r>
        <w:t>.</w:t>
      </w:r>
      <w:r w:rsidR="00490262">
        <w:t xml:space="preserve">  The exchange improve</w:t>
      </w:r>
      <w:r w:rsidR="000462BC">
        <w:t>s</w:t>
      </w:r>
      <w:r>
        <w:t xml:space="preserve"> </w:t>
      </w:r>
      <w:r w:rsidR="007F6EBB">
        <w:t xml:space="preserve">land </w:t>
      </w:r>
      <w:r>
        <w:t>manage</w:t>
      </w:r>
      <w:r w:rsidR="007F6EBB">
        <w:t>ment</w:t>
      </w:r>
      <w:r w:rsidR="00490262">
        <w:t xml:space="preserve"> </w:t>
      </w:r>
      <w:r>
        <w:t>for both parties.  The exchange consolidate</w:t>
      </w:r>
      <w:r w:rsidR="000462BC">
        <w:t>s</w:t>
      </w:r>
      <w:r>
        <w:t xml:space="preserve"> public land ownership </w:t>
      </w:r>
      <w:r w:rsidR="006062F6">
        <w:t>within</w:t>
      </w:r>
      <w:r w:rsidR="008A5B90">
        <w:t xml:space="preserve"> the</w:t>
      </w:r>
      <w:r w:rsidR="006062F6">
        <w:t xml:space="preserve"> </w:t>
      </w:r>
      <w:r>
        <w:t xml:space="preserve">John Day </w:t>
      </w:r>
      <w:r w:rsidR="00A67275">
        <w:t xml:space="preserve">WSR </w:t>
      </w:r>
      <w:r w:rsidR="006062F6">
        <w:t>corridor</w:t>
      </w:r>
      <w:r w:rsidR="00490262">
        <w:t xml:space="preserve"> </w:t>
      </w:r>
      <w:r w:rsidR="002C1ECF">
        <w:t>and provide</w:t>
      </w:r>
      <w:r w:rsidR="000462BC">
        <w:t>s</w:t>
      </w:r>
      <w:r w:rsidR="00745650">
        <w:t xml:space="preserve"> edge</w:t>
      </w:r>
      <w:r w:rsidR="00997A0C">
        <w:t>-</w:t>
      </w:r>
      <w:r w:rsidR="00745650">
        <w:t>holdings</w:t>
      </w:r>
      <w:r w:rsidR="00490262">
        <w:t xml:space="preserve"> to the SBWA</w:t>
      </w:r>
      <w:r w:rsidR="006062F6">
        <w:t>.</w:t>
      </w:r>
      <w:r w:rsidR="00490262">
        <w:t xml:space="preserve"> </w:t>
      </w:r>
    </w:p>
    <w:p w14:paraId="327216C6" w14:textId="77777777" w:rsidR="000E1458" w:rsidRDefault="000E1458" w:rsidP="003E5D7E">
      <w:pPr>
        <w:pStyle w:val="Style"/>
        <w:ind w:left="10" w:right="4781"/>
      </w:pPr>
    </w:p>
    <w:p w14:paraId="327216C7" w14:textId="77777777" w:rsidR="00485EE1" w:rsidRDefault="007D77EF" w:rsidP="003E5D7E">
      <w:pPr>
        <w:pStyle w:val="Style"/>
        <w:ind w:left="10" w:right="4781"/>
      </w:pPr>
      <w:r>
        <w:t>R</w:t>
      </w:r>
      <w:r w:rsidRPr="001F6E34">
        <w:t>ecommended by</w:t>
      </w:r>
      <w:r w:rsidR="00751C23" w:rsidRPr="001F6E34">
        <w:t xml:space="preserve">: </w:t>
      </w:r>
    </w:p>
    <w:p w14:paraId="327216C8" w14:textId="77777777" w:rsidR="008B5CE5" w:rsidRDefault="008B5CE5" w:rsidP="003E5D7E">
      <w:pPr>
        <w:pStyle w:val="Style"/>
        <w:ind w:left="10" w:right="4781"/>
      </w:pPr>
    </w:p>
    <w:p w14:paraId="327216C9" w14:textId="77777777" w:rsidR="00861285" w:rsidRDefault="00861285" w:rsidP="003E5D7E">
      <w:pPr>
        <w:pStyle w:val="Style"/>
        <w:ind w:left="10" w:right="4781"/>
      </w:pPr>
    </w:p>
    <w:p w14:paraId="327216CA" w14:textId="77777777" w:rsidR="000467B5" w:rsidRDefault="000467B5" w:rsidP="003E5D7E">
      <w:pPr>
        <w:pStyle w:val="Style"/>
        <w:ind w:left="10" w:right="4781"/>
      </w:pPr>
    </w:p>
    <w:p w14:paraId="327216CB" w14:textId="77777777" w:rsidR="00F705D0" w:rsidRDefault="00F705D0" w:rsidP="003E5D7E">
      <w:pPr>
        <w:pStyle w:val="Style"/>
        <w:tabs>
          <w:tab w:val="left" w:pos="5040"/>
          <w:tab w:val="left" w:pos="5760"/>
        </w:tabs>
        <w:ind w:right="-29"/>
      </w:pPr>
      <w:r>
        <w:t>__________________________________________</w:t>
      </w:r>
      <w:r>
        <w:tab/>
        <w:t>_______________________</w:t>
      </w:r>
    </w:p>
    <w:p w14:paraId="327216CC" w14:textId="77777777" w:rsidR="00AB4BA1" w:rsidRDefault="00CE33D7" w:rsidP="003E5D7E">
      <w:pPr>
        <w:pStyle w:val="Style"/>
        <w:tabs>
          <w:tab w:val="left" w:pos="5040"/>
          <w:tab w:val="left" w:pos="5760"/>
        </w:tabs>
        <w:ind w:right="-29"/>
      </w:pPr>
      <w:r>
        <w:t xml:space="preserve">Carol </w:t>
      </w:r>
      <w:proofErr w:type="spellStart"/>
      <w:r w:rsidR="005E1BFE">
        <w:t>Benkosky</w:t>
      </w:r>
      <w:proofErr w:type="spellEnd"/>
      <w:r w:rsidR="00AB4BA1">
        <w:tab/>
      </w:r>
      <w:r w:rsidR="00AB4BA1">
        <w:tab/>
      </w:r>
      <w:r w:rsidR="00AB4BA1" w:rsidRPr="001F6E34">
        <w:t>Date</w:t>
      </w:r>
    </w:p>
    <w:p w14:paraId="327216CD" w14:textId="77777777" w:rsidR="00485EE1" w:rsidRPr="001F6E34" w:rsidRDefault="00AB4BA1" w:rsidP="003E5D7E">
      <w:pPr>
        <w:pStyle w:val="Style"/>
        <w:tabs>
          <w:tab w:val="left" w:pos="5040"/>
          <w:tab w:val="left" w:pos="5760"/>
        </w:tabs>
        <w:ind w:right="-29"/>
      </w:pPr>
      <w:r>
        <w:t xml:space="preserve">Prineville District </w:t>
      </w:r>
      <w:r w:rsidR="00485EE1" w:rsidRPr="001F6E34">
        <w:t>Manager</w:t>
      </w:r>
      <w:r w:rsidR="00485EE1" w:rsidRPr="001F6E34">
        <w:tab/>
      </w:r>
      <w:r w:rsidR="00485EE1" w:rsidRPr="001F6E34">
        <w:tab/>
      </w:r>
    </w:p>
    <w:p w14:paraId="327216CE" w14:textId="77777777" w:rsidR="008B5CE5" w:rsidRDefault="008B5CE5" w:rsidP="003E5D7E">
      <w:pPr>
        <w:pStyle w:val="Style"/>
        <w:ind w:right="3658"/>
      </w:pPr>
    </w:p>
    <w:p w14:paraId="327216CF" w14:textId="77777777" w:rsidR="00485EE1" w:rsidRDefault="00485EE1" w:rsidP="003E5D7E">
      <w:pPr>
        <w:pStyle w:val="Style"/>
        <w:ind w:right="3658"/>
      </w:pPr>
      <w:r w:rsidRPr="001F6E34">
        <w:t>A</w:t>
      </w:r>
      <w:r w:rsidR="007D77EF">
        <w:t>pproved by</w:t>
      </w:r>
      <w:r w:rsidRPr="001F6E34">
        <w:t>:</w:t>
      </w:r>
    </w:p>
    <w:p w14:paraId="327216D0" w14:textId="77777777" w:rsidR="000E1458" w:rsidRDefault="000E1458" w:rsidP="003E5D7E">
      <w:pPr>
        <w:pStyle w:val="Style"/>
        <w:ind w:right="3658"/>
      </w:pPr>
    </w:p>
    <w:p w14:paraId="327216D1" w14:textId="77777777" w:rsidR="000467B5" w:rsidRDefault="000467B5" w:rsidP="003E5D7E">
      <w:pPr>
        <w:pStyle w:val="Style"/>
        <w:ind w:right="3658"/>
      </w:pPr>
    </w:p>
    <w:p w14:paraId="327216D2" w14:textId="77777777" w:rsidR="000E1458" w:rsidRDefault="000E1458" w:rsidP="003E5D7E">
      <w:pPr>
        <w:pStyle w:val="Style"/>
        <w:ind w:right="3658"/>
      </w:pPr>
    </w:p>
    <w:p w14:paraId="327216D3" w14:textId="77777777" w:rsidR="00485EE1" w:rsidRPr="003C4953" w:rsidRDefault="003C4953" w:rsidP="003E5D7E">
      <w:pPr>
        <w:pStyle w:val="Style"/>
        <w:ind w:right="-24"/>
      </w:pPr>
      <w:r>
        <w:t>__________________________________________</w:t>
      </w:r>
      <w:r>
        <w:tab/>
        <w:t>________________________</w:t>
      </w:r>
    </w:p>
    <w:p w14:paraId="327216D4" w14:textId="77777777" w:rsidR="00745650" w:rsidRDefault="00745650" w:rsidP="00745650">
      <w:pPr>
        <w:pStyle w:val="Style"/>
        <w:ind w:right="-24"/>
      </w:pPr>
      <w:r>
        <w:t>Jerome E. Perez</w:t>
      </w:r>
      <w:r w:rsidRPr="00745650">
        <w:t xml:space="preserve"> </w:t>
      </w:r>
      <w:r>
        <w:tab/>
      </w:r>
      <w:r>
        <w:tab/>
      </w:r>
      <w:r>
        <w:tab/>
      </w:r>
      <w:r>
        <w:tab/>
      </w:r>
      <w:r>
        <w:tab/>
      </w:r>
      <w:r>
        <w:tab/>
      </w:r>
      <w:r w:rsidRPr="001F6E34">
        <w:t>Date</w:t>
      </w:r>
    </w:p>
    <w:p w14:paraId="327216D5" w14:textId="77777777" w:rsidR="00CE78E1" w:rsidRDefault="00745650" w:rsidP="00745650">
      <w:pPr>
        <w:pStyle w:val="Style"/>
        <w:ind w:right="-24"/>
      </w:pPr>
      <w:r>
        <w:t>State Director, Oregon/Washington</w:t>
      </w:r>
      <w:r w:rsidR="00CE78E1">
        <w:tab/>
      </w:r>
      <w:r w:rsidR="00CE78E1">
        <w:tab/>
      </w:r>
      <w:r w:rsidR="00CE78E1">
        <w:tab/>
      </w:r>
      <w:r w:rsidR="00CE78E1">
        <w:tab/>
      </w:r>
      <w:r w:rsidR="00CE78E1">
        <w:tab/>
      </w:r>
      <w:r w:rsidR="00CE78E1">
        <w:tab/>
      </w:r>
    </w:p>
    <w:p w14:paraId="327216D6" w14:textId="77777777" w:rsidR="00AB4BA1" w:rsidRPr="001F6E34" w:rsidRDefault="00AB4BA1" w:rsidP="00AB4BA1">
      <w:pPr>
        <w:pStyle w:val="Style"/>
        <w:ind w:right="-24"/>
      </w:pPr>
      <w:r>
        <w:tab/>
      </w:r>
      <w:r>
        <w:tab/>
      </w:r>
      <w:r>
        <w:tab/>
      </w:r>
      <w:r>
        <w:tab/>
      </w:r>
      <w:r>
        <w:tab/>
      </w:r>
      <w:r>
        <w:tab/>
      </w:r>
    </w:p>
    <w:p w14:paraId="327216D7" w14:textId="77777777" w:rsidR="00F9738A" w:rsidRDefault="00F9738A" w:rsidP="003E5D7E">
      <w:pPr>
        <w:pStyle w:val="Style"/>
        <w:ind w:right="-24"/>
      </w:pPr>
    </w:p>
    <w:p w14:paraId="327216D8" w14:textId="77777777" w:rsidR="00751C23" w:rsidRPr="001F6E34" w:rsidRDefault="00751C23" w:rsidP="003E5D7E">
      <w:pPr>
        <w:pStyle w:val="Style"/>
        <w:ind w:right="-24"/>
      </w:pPr>
      <w:r w:rsidRPr="001F6E34">
        <w:t xml:space="preserve">Attachments: </w:t>
      </w:r>
    </w:p>
    <w:p w14:paraId="327216D9" w14:textId="77777777" w:rsidR="00485EE1" w:rsidRPr="001F6E34" w:rsidRDefault="000467B5" w:rsidP="000467B5">
      <w:pPr>
        <w:pStyle w:val="Style"/>
        <w:tabs>
          <w:tab w:val="left" w:pos="360"/>
        </w:tabs>
        <w:ind w:right="-24"/>
      </w:pPr>
      <w:r>
        <w:t>1.</w:t>
      </w:r>
      <w:r>
        <w:tab/>
      </w:r>
      <w:r w:rsidR="00751C23" w:rsidRPr="001F6E34">
        <w:t>Exhibit A</w:t>
      </w:r>
      <w:r>
        <w:t>−</w:t>
      </w:r>
      <w:r w:rsidR="00751C23" w:rsidRPr="001F6E34">
        <w:t xml:space="preserve"> Leg</w:t>
      </w:r>
      <w:r w:rsidR="00093C50">
        <w:t>al Descriptions</w:t>
      </w:r>
    </w:p>
    <w:p w14:paraId="1BE435DB" w14:textId="77777777" w:rsidR="0028056A" w:rsidRDefault="000467B5" w:rsidP="000467B5">
      <w:pPr>
        <w:pStyle w:val="Style"/>
        <w:tabs>
          <w:tab w:val="left" w:pos="360"/>
        </w:tabs>
        <w:ind w:right="-24"/>
        <w:sectPr w:rsidR="0028056A" w:rsidSect="00E930E7">
          <w:type w:val="continuous"/>
          <w:pgSz w:w="12242" w:h="15842" w:code="1"/>
          <w:pgMar w:top="1440" w:right="1440" w:bottom="1152" w:left="1440" w:header="720" w:footer="720" w:gutter="0"/>
          <w:pgNumType w:start="1"/>
          <w:cols w:space="720"/>
          <w:noEndnote/>
          <w:docGrid w:linePitch="360"/>
        </w:sectPr>
      </w:pPr>
      <w:r>
        <w:t>2.</w:t>
      </w:r>
      <w:r>
        <w:tab/>
      </w:r>
      <w:r w:rsidR="00093C50">
        <w:t>Exhibit B</w:t>
      </w:r>
      <w:r w:rsidR="00751C23" w:rsidRPr="001F6E34">
        <w:t xml:space="preserve"> </w:t>
      </w:r>
      <w:r>
        <w:t>−</w:t>
      </w:r>
      <w:r w:rsidR="00751C23" w:rsidRPr="001F6E34">
        <w:t xml:space="preserve"> Map </w:t>
      </w:r>
      <w:r w:rsidR="00820F2A">
        <w:t xml:space="preserve">of </w:t>
      </w:r>
      <w:r w:rsidR="00096802">
        <w:t>Federal and Non-Federal Land</w:t>
      </w:r>
    </w:p>
    <w:p w14:paraId="327216DC" w14:textId="77777777" w:rsidR="00751C23" w:rsidRDefault="00751C23" w:rsidP="003070C4">
      <w:pPr>
        <w:jc w:val="center"/>
        <w:rPr>
          <w:b/>
        </w:rPr>
      </w:pPr>
      <w:r w:rsidRPr="00564BCF">
        <w:rPr>
          <w:b/>
        </w:rPr>
        <w:lastRenderedPageBreak/>
        <w:t>Exhibit A</w:t>
      </w:r>
    </w:p>
    <w:p w14:paraId="327216DD" w14:textId="77777777" w:rsidR="00C433FE" w:rsidRDefault="00751C23" w:rsidP="00C433FE">
      <w:pPr>
        <w:pStyle w:val="Style"/>
        <w:jc w:val="center"/>
        <w:rPr>
          <w:b/>
        </w:rPr>
      </w:pPr>
      <w:r w:rsidRPr="008F71EE">
        <w:rPr>
          <w:b/>
        </w:rPr>
        <w:t>Legal Land Description</w:t>
      </w:r>
      <w:r w:rsidR="0042678A">
        <w:rPr>
          <w:b/>
        </w:rPr>
        <w:t>s</w:t>
      </w:r>
      <w:r w:rsidRPr="008F71EE">
        <w:rPr>
          <w:b/>
        </w:rPr>
        <w:t xml:space="preserve"> </w:t>
      </w:r>
    </w:p>
    <w:p w14:paraId="327216DE" w14:textId="77777777" w:rsidR="00587515" w:rsidRDefault="00587515" w:rsidP="00C433FE">
      <w:pPr>
        <w:pStyle w:val="Style"/>
        <w:jc w:val="center"/>
        <w:rPr>
          <w:b/>
        </w:rPr>
      </w:pPr>
    </w:p>
    <w:p w14:paraId="64F01DF3" w14:textId="77777777" w:rsidR="00997A0C" w:rsidRDefault="00997A0C" w:rsidP="00C433FE">
      <w:pPr>
        <w:pStyle w:val="Style"/>
        <w:jc w:val="center"/>
        <w:rPr>
          <w:b/>
        </w:rPr>
      </w:pPr>
    </w:p>
    <w:p w14:paraId="327216DF" w14:textId="77777777" w:rsidR="007A774B" w:rsidRPr="000467B5" w:rsidRDefault="007A774B" w:rsidP="00B853CC">
      <w:pPr>
        <w:pStyle w:val="ListParagraph"/>
        <w:numPr>
          <w:ilvl w:val="0"/>
          <w:numId w:val="13"/>
        </w:numPr>
        <w:autoSpaceDE w:val="0"/>
        <w:autoSpaceDN w:val="0"/>
        <w:adjustRightInd w:val="0"/>
        <w:spacing w:line="240" w:lineRule="atLeast"/>
        <w:contextualSpacing/>
        <w:rPr>
          <w:rFonts w:cstheme="minorHAnsi"/>
          <w:b/>
          <w:color w:val="000000"/>
          <w:sz w:val="23"/>
          <w:szCs w:val="23"/>
        </w:rPr>
      </w:pPr>
      <w:r w:rsidRPr="000467B5">
        <w:rPr>
          <w:b/>
          <w:sz w:val="23"/>
          <w:szCs w:val="23"/>
        </w:rPr>
        <w:t>The</w:t>
      </w:r>
      <w:r w:rsidR="00B853CC" w:rsidRPr="000467B5">
        <w:rPr>
          <w:b/>
          <w:sz w:val="23"/>
          <w:szCs w:val="23"/>
        </w:rPr>
        <w:t xml:space="preserve"> </w:t>
      </w:r>
      <w:r w:rsidR="002A62E7" w:rsidRPr="000467B5">
        <w:rPr>
          <w:rFonts w:cstheme="minorHAnsi"/>
          <w:b/>
          <w:color w:val="000000"/>
          <w:sz w:val="23"/>
          <w:szCs w:val="23"/>
        </w:rPr>
        <w:t>Federal Land --</w:t>
      </w:r>
      <w:r w:rsidR="00B853CC" w:rsidRPr="000467B5">
        <w:rPr>
          <w:rFonts w:cstheme="minorHAnsi"/>
          <w:b/>
          <w:color w:val="000000"/>
          <w:sz w:val="23"/>
          <w:szCs w:val="23"/>
        </w:rPr>
        <w:t xml:space="preserve"> OR-65927-FD</w:t>
      </w:r>
    </w:p>
    <w:p w14:paraId="327216E0" w14:textId="77777777" w:rsidR="007A774B" w:rsidRPr="000467B5" w:rsidRDefault="007A774B" w:rsidP="007A774B">
      <w:pPr>
        <w:ind w:left="2880" w:hanging="2880"/>
        <w:rPr>
          <w:b/>
          <w:sz w:val="23"/>
          <w:szCs w:val="23"/>
        </w:rPr>
      </w:pPr>
    </w:p>
    <w:p w14:paraId="327216E1" w14:textId="77777777" w:rsidR="008868E5" w:rsidRPr="000467B5" w:rsidRDefault="008868E5" w:rsidP="008868E5">
      <w:pPr>
        <w:rPr>
          <w:sz w:val="23"/>
          <w:szCs w:val="23"/>
        </w:rPr>
      </w:pPr>
      <w:r w:rsidRPr="000467B5">
        <w:rPr>
          <w:sz w:val="23"/>
          <w:szCs w:val="23"/>
        </w:rPr>
        <w:t>T. 8 S., R. 19 E., W.M.</w:t>
      </w:r>
      <w:r w:rsidR="00047EF6" w:rsidRPr="000467B5">
        <w:rPr>
          <w:sz w:val="23"/>
          <w:szCs w:val="23"/>
        </w:rPr>
        <w:t>, Wasco County, Oregon</w:t>
      </w:r>
    </w:p>
    <w:p w14:paraId="327216E2" w14:textId="77777777" w:rsidR="008868E5" w:rsidRPr="000467B5" w:rsidRDefault="008868E5" w:rsidP="008868E5">
      <w:pPr>
        <w:rPr>
          <w:sz w:val="23"/>
          <w:szCs w:val="23"/>
        </w:rPr>
      </w:pPr>
    </w:p>
    <w:p w14:paraId="327216E3" w14:textId="77777777" w:rsidR="008868E5" w:rsidRPr="000467B5" w:rsidRDefault="008868E5" w:rsidP="008868E5">
      <w:pPr>
        <w:jc w:val="right"/>
        <w:rPr>
          <w:sz w:val="23"/>
          <w:szCs w:val="23"/>
        </w:rPr>
      </w:pPr>
      <w:r w:rsidRPr="000467B5">
        <w:rPr>
          <w:sz w:val="23"/>
          <w:szCs w:val="23"/>
        </w:rPr>
        <w:t>Section 4, SE</w:t>
      </w:r>
      <w:r w:rsidRPr="000467B5">
        <w:rPr>
          <w:rFonts w:cstheme="minorHAnsi"/>
          <w:sz w:val="23"/>
          <w:szCs w:val="23"/>
        </w:rPr>
        <w:t>¼</w:t>
      </w:r>
      <w:r w:rsidRPr="000467B5">
        <w:rPr>
          <w:sz w:val="23"/>
          <w:szCs w:val="23"/>
        </w:rPr>
        <w:t>SW</w:t>
      </w:r>
      <w:r w:rsidRPr="000467B5">
        <w:rPr>
          <w:rFonts w:cstheme="minorHAnsi"/>
          <w:sz w:val="23"/>
          <w:szCs w:val="23"/>
        </w:rPr>
        <w:t>¼</w:t>
      </w:r>
      <w:r w:rsidRPr="000467B5">
        <w:rPr>
          <w:sz w:val="23"/>
          <w:szCs w:val="23"/>
        </w:rPr>
        <w:t>, SE</w:t>
      </w:r>
      <w:r w:rsidRPr="000467B5">
        <w:rPr>
          <w:rFonts w:cstheme="minorHAnsi"/>
          <w:sz w:val="23"/>
          <w:szCs w:val="23"/>
        </w:rPr>
        <w:t>¼</w:t>
      </w:r>
      <w:r w:rsidRPr="000467B5">
        <w:rPr>
          <w:sz w:val="23"/>
          <w:szCs w:val="23"/>
        </w:rPr>
        <w:t xml:space="preserve">; </w:t>
      </w:r>
      <w:r w:rsidR="00047EF6" w:rsidRPr="000467B5">
        <w:rPr>
          <w:sz w:val="23"/>
          <w:szCs w:val="23"/>
          <w:u w:val="dotted"/>
        </w:rPr>
        <w:t xml:space="preserve">                                                                                     </w:t>
      </w:r>
      <w:r w:rsidRPr="000467B5">
        <w:rPr>
          <w:sz w:val="23"/>
          <w:szCs w:val="23"/>
        </w:rPr>
        <w:t>200.00 acres</w:t>
      </w:r>
    </w:p>
    <w:p w14:paraId="327216E4" w14:textId="77777777" w:rsidR="008868E5" w:rsidRPr="000467B5" w:rsidRDefault="008868E5" w:rsidP="008868E5">
      <w:pPr>
        <w:jc w:val="right"/>
        <w:rPr>
          <w:sz w:val="23"/>
          <w:szCs w:val="23"/>
        </w:rPr>
      </w:pPr>
      <w:r w:rsidRPr="000467B5">
        <w:rPr>
          <w:sz w:val="23"/>
          <w:szCs w:val="23"/>
        </w:rPr>
        <w:t xml:space="preserve">Section </w:t>
      </w:r>
      <w:proofErr w:type="gramStart"/>
      <w:r w:rsidRPr="000467B5">
        <w:rPr>
          <w:sz w:val="23"/>
          <w:szCs w:val="23"/>
        </w:rPr>
        <w:t>9</w:t>
      </w:r>
      <w:proofErr w:type="gramEnd"/>
      <w:r w:rsidRPr="000467B5">
        <w:rPr>
          <w:sz w:val="23"/>
          <w:szCs w:val="23"/>
        </w:rPr>
        <w:t xml:space="preserve">, Lots 5, 6, </w:t>
      </w:r>
      <w:r w:rsidR="00047EF6" w:rsidRPr="000467B5">
        <w:rPr>
          <w:sz w:val="23"/>
          <w:szCs w:val="23"/>
        </w:rPr>
        <w:t>9 and 10;</w:t>
      </w:r>
      <w:r w:rsidR="00047EF6" w:rsidRPr="000467B5">
        <w:rPr>
          <w:sz w:val="23"/>
          <w:szCs w:val="23"/>
          <w:u w:val="dotted"/>
        </w:rPr>
        <w:t xml:space="preserve">                                                                                   </w:t>
      </w:r>
      <w:r w:rsidRPr="000467B5">
        <w:rPr>
          <w:sz w:val="23"/>
          <w:szCs w:val="23"/>
        </w:rPr>
        <w:t>144.31 acres</w:t>
      </w:r>
    </w:p>
    <w:p w14:paraId="327216E5" w14:textId="77777777" w:rsidR="008D02B1" w:rsidRDefault="008D02B1" w:rsidP="008868E5">
      <w:pPr>
        <w:jc w:val="right"/>
        <w:rPr>
          <w:sz w:val="23"/>
          <w:szCs w:val="23"/>
        </w:rPr>
      </w:pPr>
    </w:p>
    <w:p w14:paraId="327216E6" w14:textId="77777777" w:rsidR="008868E5" w:rsidRPr="000467B5" w:rsidRDefault="008868E5" w:rsidP="008868E5">
      <w:pPr>
        <w:jc w:val="right"/>
        <w:rPr>
          <w:sz w:val="23"/>
          <w:szCs w:val="23"/>
        </w:rPr>
      </w:pPr>
      <w:r w:rsidRPr="000467B5">
        <w:rPr>
          <w:sz w:val="23"/>
          <w:szCs w:val="23"/>
        </w:rPr>
        <w:t>Total</w:t>
      </w:r>
      <w:r w:rsidR="0043161D" w:rsidRPr="000467B5">
        <w:rPr>
          <w:sz w:val="23"/>
          <w:szCs w:val="23"/>
        </w:rPr>
        <w:t xml:space="preserve"> Federal Acres</w:t>
      </w:r>
      <w:r w:rsidRPr="000467B5">
        <w:rPr>
          <w:sz w:val="23"/>
          <w:szCs w:val="23"/>
        </w:rPr>
        <w:t xml:space="preserve">: </w:t>
      </w:r>
      <w:r w:rsidR="00DE2065" w:rsidRPr="000467B5">
        <w:rPr>
          <w:sz w:val="23"/>
          <w:szCs w:val="23"/>
        </w:rPr>
        <w:t xml:space="preserve"> </w:t>
      </w:r>
      <w:r w:rsidRPr="000467B5">
        <w:rPr>
          <w:sz w:val="23"/>
          <w:szCs w:val="23"/>
        </w:rPr>
        <w:t>344.31 acres</w:t>
      </w:r>
    </w:p>
    <w:p w14:paraId="327216E7" w14:textId="77777777" w:rsidR="00B853CC" w:rsidRPr="000467B5" w:rsidRDefault="00B853CC" w:rsidP="007A774B">
      <w:pPr>
        <w:rPr>
          <w:sz w:val="23"/>
          <w:szCs w:val="23"/>
        </w:rPr>
      </w:pPr>
    </w:p>
    <w:p w14:paraId="327216E8" w14:textId="77777777" w:rsidR="008D02B1" w:rsidRDefault="008D02B1" w:rsidP="008D02B1">
      <w:pPr>
        <w:rPr>
          <w:rFonts w:eastAsia="Calibri"/>
        </w:rPr>
      </w:pPr>
      <w:r w:rsidRPr="00081F29">
        <w:rPr>
          <w:rFonts w:eastAsia="Calibri"/>
        </w:rPr>
        <w:t xml:space="preserve">Together with </w:t>
      </w:r>
      <w:r>
        <w:rPr>
          <w:rFonts w:eastAsia="Calibri"/>
        </w:rPr>
        <w:t xml:space="preserve">the following </w:t>
      </w:r>
      <w:r w:rsidRPr="00081F29">
        <w:rPr>
          <w:rFonts w:eastAsia="Calibri"/>
        </w:rPr>
        <w:t>water rights included under Certificate numbers 53715, 65824, 83272, and 83294</w:t>
      </w:r>
      <w:r>
        <w:rPr>
          <w:rFonts w:eastAsia="Calibri"/>
        </w:rPr>
        <w:t xml:space="preserve"> that comprise</w:t>
      </w:r>
      <w:r w:rsidRPr="00EE08C0">
        <w:rPr>
          <w:rFonts w:eastAsia="Calibri"/>
        </w:rPr>
        <w:t xml:space="preserve"> </w:t>
      </w:r>
      <w:r w:rsidRPr="00081F29">
        <w:rPr>
          <w:rFonts w:eastAsia="Calibri"/>
        </w:rPr>
        <w:t>15.7 acres</w:t>
      </w:r>
      <w:r>
        <w:rPr>
          <w:rFonts w:eastAsia="Calibri"/>
        </w:rPr>
        <w:t>.</w:t>
      </w:r>
    </w:p>
    <w:p w14:paraId="327216E9" w14:textId="77777777" w:rsidR="008D02B1" w:rsidRPr="00081F29" w:rsidRDefault="008D02B1" w:rsidP="008D02B1">
      <w:pPr>
        <w:rPr>
          <w:rFonts w:eastAsia="Calibri"/>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1080"/>
        <w:gridCol w:w="937"/>
        <w:gridCol w:w="1583"/>
        <w:gridCol w:w="1350"/>
        <w:gridCol w:w="1800"/>
      </w:tblGrid>
      <w:tr w:rsidR="008D02B1" w:rsidRPr="005F48F3" w14:paraId="327216F0" w14:textId="77777777" w:rsidTr="00BE24DC">
        <w:tc>
          <w:tcPr>
            <w:tcW w:w="1350" w:type="dxa"/>
            <w:shd w:val="clear" w:color="auto" w:fill="auto"/>
            <w:vAlign w:val="center"/>
          </w:tcPr>
          <w:p w14:paraId="327216EA" w14:textId="77777777" w:rsidR="008D02B1" w:rsidRPr="005F48F3" w:rsidRDefault="008D02B1" w:rsidP="00161C40">
            <w:pPr>
              <w:jc w:val="center"/>
            </w:pPr>
            <w:r w:rsidRPr="005F48F3">
              <w:t>Township</w:t>
            </w:r>
          </w:p>
        </w:tc>
        <w:tc>
          <w:tcPr>
            <w:tcW w:w="1080" w:type="dxa"/>
            <w:shd w:val="clear" w:color="auto" w:fill="auto"/>
            <w:vAlign w:val="center"/>
          </w:tcPr>
          <w:p w14:paraId="327216EB" w14:textId="77777777" w:rsidR="008D02B1" w:rsidRPr="005F48F3" w:rsidRDefault="008D02B1" w:rsidP="00161C40">
            <w:pPr>
              <w:jc w:val="center"/>
            </w:pPr>
            <w:r w:rsidRPr="005F48F3">
              <w:t>Range</w:t>
            </w:r>
          </w:p>
        </w:tc>
        <w:tc>
          <w:tcPr>
            <w:tcW w:w="937" w:type="dxa"/>
            <w:shd w:val="clear" w:color="auto" w:fill="auto"/>
            <w:vAlign w:val="center"/>
          </w:tcPr>
          <w:p w14:paraId="327216EC" w14:textId="77777777" w:rsidR="008D02B1" w:rsidRPr="005F48F3" w:rsidRDefault="008D02B1" w:rsidP="00161C40">
            <w:pPr>
              <w:jc w:val="center"/>
            </w:pPr>
            <w:r w:rsidRPr="005F48F3">
              <w:t>Section</w:t>
            </w:r>
          </w:p>
        </w:tc>
        <w:tc>
          <w:tcPr>
            <w:tcW w:w="1583" w:type="dxa"/>
            <w:shd w:val="clear" w:color="auto" w:fill="auto"/>
            <w:vAlign w:val="center"/>
          </w:tcPr>
          <w:p w14:paraId="327216ED" w14:textId="77777777" w:rsidR="008D02B1" w:rsidRPr="005F48F3" w:rsidRDefault="008D02B1" w:rsidP="00161C40">
            <w:pPr>
              <w:jc w:val="center"/>
            </w:pPr>
            <w:r w:rsidRPr="005F48F3">
              <w:t>Quarter / Quarter</w:t>
            </w:r>
          </w:p>
        </w:tc>
        <w:tc>
          <w:tcPr>
            <w:tcW w:w="1350" w:type="dxa"/>
            <w:shd w:val="clear" w:color="auto" w:fill="auto"/>
            <w:vAlign w:val="center"/>
          </w:tcPr>
          <w:p w14:paraId="327216EE" w14:textId="77777777" w:rsidR="008D02B1" w:rsidRPr="005F48F3" w:rsidRDefault="008D02B1" w:rsidP="00161C40">
            <w:pPr>
              <w:jc w:val="center"/>
            </w:pPr>
            <w:r w:rsidRPr="005F48F3">
              <w:t>Certificate #</w:t>
            </w:r>
          </w:p>
        </w:tc>
        <w:tc>
          <w:tcPr>
            <w:tcW w:w="1800" w:type="dxa"/>
            <w:shd w:val="clear" w:color="auto" w:fill="auto"/>
            <w:vAlign w:val="center"/>
          </w:tcPr>
          <w:p w14:paraId="327216EF" w14:textId="3E037EEB" w:rsidR="008D02B1" w:rsidRPr="005F48F3" w:rsidRDefault="008D02B1" w:rsidP="00BE24DC">
            <w:pPr>
              <w:jc w:val="center"/>
            </w:pPr>
            <w:r w:rsidRPr="005F48F3">
              <w:t>Acres of Water Right</w:t>
            </w:r>
          </w:p>
        </w:tc>
      </w:tr>
      <w:tr w:rsidR="008D02B1" w:rsidRPr="005F48F3" w14:paraId="327216F7" w14:textId="77777777" w:rsidTr="00BE24DC">
        <w:tc>
          <w:tcPr>
            <w:tcW w:w="1350" w:type="dxa"/>
            <w:shd w:val="clear" w:color="auto" w:fill="auto"/>
            <w:vAlign w:val="center"/>
          </w:tcPr>
          <w:p w14:paraId="327216F1" w14:textId="77777777" w:rsidR="008D02B1" w:rsidRPr="005F48F3" w:rsidRDefault="008D02B1" w:rsidP="00161C40">
            <w:pPr>
              <w:jc w:val="center"/>
            </w:pPr>
            <w:r w:rsidRPr="005F48F3">
              <w:t>8 S.</w:t>
            </w:r>
          </w:p>
        </w:tc>
        <w:tc>
          <w:tcPr>
            <w:tcW w:w="1080" w:type="dxa"/>
            <w:shd w:val="clear" w:color="auto" w:fill="auto"/>
            <w:vAlign w:val="center"/>
          </w:tcPr>
          <w:p w14:paraId="327216F2" w14:textId="77777777" w:rsidR="008D02B1" w:rsidRPr="005F48F3" w:rsidRDefault="008D02B1" w:rsidP="00161C40">
            <w:pPr>
              <w:jc w:val="center"/>
            </w:pPr>
            <w:r w:rsidRPr="005F48F3">
              <w:t>19 E.</w:t>
            </w:r>
          </w:p>
        </w:tc>
        <w:tc>
          <w:tcPr>
            <w:tcW w:w="937" w:type="dxa"/>
            <w:shd w:val="clear" w:color="auto" w:fill="auto"/>
            <w:vAlign w:val="center"/>
          </w:tcPr>
          <w:p w14:paraId="327216F3" w14:textId="77777777" w:rsidR="008D02B1" w:rsidRPr="005F48F3" w:rsidRDefault="008D02B1" w:rsidP="00161C40">
            <w:pPr>
              <w:jc w:val="center"/>
            </w:pPr>
            <w:r w:rsidRPr="005F48F3">
              <w:t>9</w:t>
            </w:r>
          </w:p>
        </w:tc>
        <w:tc>
          <w:tcPr>
            <w:tcW w:w="1583" w:type="dxa"/>
            <w:shd w:val="clear" w:color="auto" w:fill="auto"/>
            <w:vAlign w:val="center"/>
          </w:tcPr>
          <w:p w14:paraId="327216F4" w14:textId="77777777" w:rsidR="008D02B1" w:rsidRPr="005F48F3" w:rsidRDefault="008D02B1" w:rsidP="00161C40">
            <w:pPr>
              <w:jc w:val="center"/>
            </w:pPr>
            <w:r w:rsidRPr="005F48F3">
              <w:t>SESW</w:t>
            </w:r>
          </w:p>
        </w:tc>
        <w:tc>
          <w:tcPr>
            <w:tcW w:w="1350" w:type="dxa"/>
            <w:shd w:val="clear" w:color="auto" w:fill="auto"/>
            <w:vAlign w:val="center"/>
          </w:tcPr>
          <w:p w14:paraId="327216F5" w14:textId="77777777" w:rsidR="008D02B1" w:rsidRPr="005F48F3" w:rsidRDefault="008D02B1" w:rsidP="00161C40">
            <w:pPr>
              <w:jc w:val="center"/>
            </w:pPr>
            <w:r w:rsidRPr="005F48F3">
              <w:t>53715*</w:t>
            </w:r>
          </w:p>
        </w:tc>
        <w:tc>
          <w:tcPr>
            <w:tcW w:w="1800" w:type="dxa"/>
            <w:shd w:val="clear" w:color="auto" w:fill="auto"/>
            <w:vAlign w:val="center"/>
          </w:tcPr>
          <w:p w14:paraId="327216F6" w14:textId="77777777" w:rsidR="008D02B1" w:rsidRPr="005F48F3" w:rsidRDefault="008D02B1" w:rsidP="00161C40">
            <w:pPr>
              <w:jc w:val="center"/>
            </w:pPr>
            <w:r w:rsidRPr="005F48F3">
              <w:t>0.2</w:t>
            </w:r>
          </w:p>
        </w:tc>
      </w:tr>
      <w:tr w:rsidR="008D02B1" w:rsidRPr="005F48F3" w14:paraId="327216FE" w14:textId="77777777" w:rsidTr="00BE24DC">
        <w:tc>
          <w:tcPr>
            <w:tcW w:w="1350" w:type="dxa"/>
            <w:shd w:val="clear" w:color="auto" w:fill="auto"/>
            <w:vAlign w:val="center"/>
          </w:tcPr>
          <w:p w14:paraId="327216F8" w14:textId="77777777" w:rsidR="008D02B1" w:rsidRPr="005F48F3" w:rsidRDefault="008D02B1" w:rsidP="00161C40">
            <w:pPr>
              <w:jc w:val="center"/>
            </w:pPr>
            <w:r w:rsidRPr="005F48F3">
              <w:t>8 S.</w:t>
            </w:r>
          </w:p>
        </w:tc>
        <w:tc>
          <w:tcPr>
            <w:tcW w:w="1080" w:type="dxa"/>
            <w:shd w:val="clear" w:color="auto" w:fill="auto"/>
            <w:vAlign w:val="center"/>
          </w:tcPr>
          <w:p w14:paraId="327216F9" w14:textId="77777777" w:rsidR="008D02B1" w:rsidRPr="005F48F3" w:rsidRDefault="008D02B1" w:rsidP="00161C40">
            <w:pPr>
              <w:jc w:val="center"/>
            </w:pPr>
            <w:r w:rsidRPr="005F48F3">
              <w:t xml:space="preserve">19 E. </w:t>
            </w:r>
          </w:p>
        </w:tc>
        <w:tc>
          <w:tcPr>
            <w:tcW w:w="937" w:type="dxa"/>
            <w:shd w:val="clear" w:color="auto" w:fill="auto"/>
            <w:vAlign w:val="center"/>
          </w:tcPr>
          <w:p w14:paraId="327216FA" w14:textId="77777777" w:rsidR="008D02B1" w:rsidRPr="005F48F3" w:rsidRDefault="008D02B1" w:rsidP="00161C40">
            <w:pPr>
              <w:jc w:val="center"/>
            </w:pPr>
            <w:r w:rsidRPr="005F48F3">
              <w:t>9</w:t>
            </w:r>
          </w:p>
        </w:tc>
        <w:tc>
          <w:tcPr>
            <w:tcW w:w="1583" w:type="dxa"/>
            <w:shd w:val="clear" w:color="auto" w:fill="auto"/>
            <w:vAlign w:val="center"/>
          </w:tcPr>
          <w:p w14:paraId="327216FB" w14:textId="77777777" w:rsidR="008D02B1" w:rsidRPr="005F48F3" w:rsidRDefault="008D02B1" w:rsidP="00161C40">
            <w:pPr>
              <w:jc w:val="center"/>
            </w:pPr>
            <w:r w:rsidRPr="005F48F3">
              <w:t>SWNE</w:t>
            </w:r>
          </w:p>
        </w:tc>
        <w:tc>
          <w:tcPr>
            <w:tcW w:w="1350" w:type="dxa"/>
            <w:shd w:val="clear" w:color="auto" w:fill="auto"/>
            <w:vAlign w:val="center"/>
          </w:tcPr>
          <w:p w14:paraId="327216FC" w14:textId="77777777" w:rsidR="008D02B1" w:rsidRPr="005F48F3" w:rsidRDefault="008D02B1" w:rsidP="00161C40">
            <w:pPr>
              <w:jc w:val="center"/>
            </w:pPr>
            <w:r w:rsidRPr="005F48F3">
              <w:t>65824</w:t>
            </w:r>
          </w:p>
        </w:tc>
        <w:tc>
          <w:tcPr>
            <w:tcW w:w="1800" w:type="dxa"/>
            <w:shd w:val="clear" w:color="auto" w:fill="auto"/>
            <w:vAlign w:val="center"/>
          </w:tcPr>
          <w:p w14:paraId="327216FD" w14:textId="77777777" w:rsidR="008D02B1" w:rsidRPr="005F48F3" w:rsidRDefault="008D02B1" w:rsidP="00161C40">
            <w:pPr>
              <w:jc w:val="center"/>
            </w:pPr>
            <w:r w:rsidRPr="005F48F3">
              <w:t>0.1</w:t>
            </w:r>
          </w:p>
        </w:tc>
      </w:tr>
      <w:tr w:rsidR="008D02B1" w:rsidRPr="005F48F3" w14:paraId="32721705" w14:textId="77777777" w:rsidTr="00BE24DC">
        <w:tc>
          <w:tcPr>
            <w:tcW w:w="1350" w:type="dxa"/>
            <w:shd w:val="clear" w:color="auto" w:fill="auto"/>
            <w:vAlign w:val="center"/>
          </w:tcPr>
          <w:p w14:paraId="327216FF" w14:textId="77777777" w:rsidR="008D02B1" w:rsidRPr="005F48F3" w:rsidRDefault="008D02B1" w:rsidP="00161C40">
            <w:pPr>
              <w:jc w:val="center"/>
            </w:pPr>
            <w:r w:rsidRPr="005F48F3">
              <w:t>8 S.</w:t>
            </w:r>
          </w:p>
        </w:tc>
        <w:tc>
          <w:tcPr>
            <w:tcW w:w="1080" w:type="dxa"/>
            <w:shd w:val="clear" w:color="auto" w:fill="auto"/>
            <w:vAlign w:val="center"/>
          </w:tcPr>
          <w:p w14:paraId="32721700" w14:textId="77777777" w:rsidR="008D02B1" w:rsidRPr="005F48F3" w:rsidRDefault="008D02B1" w:rsidP="00161C40">
            <w:pPr>
              <w:jc w:val="center"/>
            </w:pPr>
            <w:r w:rsidRPr="005F48F3">
              <w:t>19 E.</w:t>
            </w:r>
          </w:p>
        </w:tc>
        <w:tc>
          <w:tcPr>
            <w:tcW w:w="937" w:type="dxa"/>
            <w:shd w:val="clear" w:color="auto" w:fill="auto"/>
            <w:vAlign w:val="center"/>
          </w:tcPr>
          <w:p w14:paraId="32721701" w14:textId="77777777" w:rsidR="008D02B1" w:rsidRPr="005F48F3" w:rsidRDefault="008D02B1" w:rsidP="00161C40">
            <w:pPr>
              <w:jc w:val="center"/>
            </w:pPr>
            <w:r w:rsidRPr="005F48F3">
              <w:t>9</w:t>
            </w:r>
          </w:p>
        </w:tc>
        <w:tc>
          <w:tcPr>
            <w:tcW w:w="1583" w:type="dxa"/>
            <w:shd w:val="clear" w:color="auto" w:fill="auto"/>
            <w:vAlign w:val="center"/>
          </w:tcPr>
          <w:p w14:paraId="32721702" w14:textId="77777777" w:rsidR="008D02B1" w:rsidRPr="005F48F3" w:rsidRDefault="008D02B1" w:rsidP="00161C40">
            <w:pPr>
              <w:jc w:val="center"/>
            </w:pPr>
            <w:r w:rsidRPr="005F48F3">
              <w:t>SENE</w:t>
            </w:r>
          </w:p>
        </w:tc>
        <w:tc>
          <w:tcPr>
            <w:tcW w:w="1350" w:type="dxa"/>
            <w:shd w:val="clear" w:color="auto" w:fill="auto"/>
            <w:vAlign w:val="center"/>
          </w:tcPr>
          <w:p w14:paraId="32721703" w14:textId="77777777" w:rsidR="008D02B1" w:rsidRPr="005F48F3" w:rsidRDefault="008D02B1" w:rsidP="00161C40">
            <w:pPr>
              <w:jc w:val="center"/>
            </w:pPr>
            <w:r w:rsidRPr="005F48F3">
              <w:t>65824</w:t>
            </w:r>
          </w:p>
        </w:tc>
        <w:tc>
          <w:tcPr>
            <w:tcW w:w="1800" w:type="dxa"/>
            <w:shd w:val="clear" w:color="auto" w:fill="auto"/>
            <w:vAlign w:val="center"/>
          </w:tcPr>
          <w:p w14:paraId="32721704" w14:textId="77777777" w:rsidR="008D02B1" w:rsidRPr="005F48F3" w:rsidRDefault="008D02B1" w:rsidP="00161C40">
            <w:pPr>
              <w:jc w:val="center"/>
            </w:pPr>
            <w:r w:rsidRPr="005F48F3">
              <w:t>1.7</w:t>
            </w:r>
          </w:p>
        </w:tc>
      </w:tr>
      <w:tr w:rsidR="008D02B1" w:rsidRPr="005F48F3" w14:paraId="3272170C" w14:textId="77777777" w:rsidTr="00BE24DC">
        <w:tc>
          <w:tcPr>
            <w:tcW w:w="1350" w:type="dxa"/>
            <w:shd w:val="clear" w:color="auto" w:fill="auto"/>
            <w:vAlign w:val="center"/>
          </w:tcPr>
          <w:p w14:paraId="32721706" w14:textId="77777777" w:rsidR="008D02B1" w:rsidRPr="005F48F3" w:rsidRDefault="008D02B1" w:rsidP="00161C40">
            <w:pPr>
              <w:jc w:val="center"/>
            </w:pPr>
            <w:r w:rsidRPr="005F48F3">
              <w:t>8 S.</w:t>
            </w:r>
          </w:p>
        </w:tc>
        <w:tc>
          <w:tcPr>
            <w:tcW w:w="1080" w:type="dxa"/>
            <w:shd w:val="clear" w:color="auto" w:fill="auto"/>
            <w:vAlign w:val="center"/>
          </w:tcPr>
          <w:p w14:paraId="32721707" w14:textId="77777777" w:rsidR="008D02B1" w:rsidRPr="005F48F3" w:rsidRDefault="008D02B1" w:rsidP="00161C40">
            <w:pPr>
              <w:jc w:val="center"/>
            </w:pPr>
            <w:r w:rsidRPr="005F48F3">
              <w:t>19 E.</w:t>
            </w:r>
          </w:p>
        </w:tc>
        <w:tc>
          <w:tcPr>
            <w:tcW w:w="937" w:type="dxa"/>
            <w:shd w:val="clear" w:color="auto" w:fill="auto"/>
            <w:vAlign w:val="center"/>
          </w:tcPr>
          <w:p w14:paraId="32721708" w14:textId="77777777" w:rsidR="008D02B1" w:rsidRPr="005F48F3" w:rsidRDefault="008D02B1" w:rsidP="00161C40">
            <w:pPr>
              <w:jc w:val="center"/>
            </w:pPr>
            <w:r w:rsidRPr="005F48F3">
              <w:t>4</w:t>
            </w:r>
          </w:p>
        </w:tc>
        <w:tc>
          <w:tcPr>
            <w:tcW w:w="1583" w:type="dxa"/>
            <w:shd w:val="clear" w:color="auto" w:fill="auto"/>
            <w:vAlign w:val="center"/>
          </w:tcPr>
          <w:p w14:paraId="32721709" w14:textId="77777777" w:rsidR="008D02B1" w:rsidRPr="005F48F3" w:rsidRDefault="008D02B1" w:rsidP="00161C40">
            <w:pPr>
              <w:jc w:val="center"/>
            </w:pPr>
            <w:r w:rsidRPr="005F48F3">
              <w:t>NWSE</w:t>
            </w:r>
          </w:p>
        </w:tc>
        <w:tc>
          <w:tcPr>
            <w:tcW w:w="1350" w:type="dxa"/>
            <w:shd w:val="clear" w:color="auto" w:fill="auto"/>
            <w:vAlign w:val="center"/>
          </w:tcPr>
          <w:p w14:paraId="3272170A" w14:textId="77777777" w:rsidR="008D02B1" w:rsidRPr="005F48F3" w:rsidRDefault="008D02B1" w:rsidP="00161C40">
            <w:pPr>
              <w:jc w:val="center"/>
            </w:pPr>
            <w:r w:rsidRPr="005F48F3">
              <w:t>83272</w:t>
            </w:r>
          </w:p>
        </w:tc>
        <w:tc>
          <w:tcPr>
            <w:tcW w:w="1800" w:type="dxa"/>
            <w:shd w:val="clear" w:color="auto" w:fill="auto"/>
            <w:vAlign w:val="center"/>
          </w:tcPr>
          <w:p w14:paraId="3272170B" w14:textId="77777777" w:rsidR="008D02B1" w:rsidRPr="005F48F3" w:rsidRDefault="008D02B1" w:rsidP="00161C40">
            <w:pPr>
              <w:jc w:val="center"/>
            </w:pPr>
            <w:r w:rsidRPr="005F48F3">
              <w:t>0.5</w:t>
            </w:r>
          </w:p>
        </w:tc>
      </w:tr>
      <w:tr w:rsidR="008D02B1" w:rsidRPr="005F48F3" w14:paraId="32721713" w14:textId="77777777" w:rsidTr="00BE24DC">
        <w:tc>
          <w:tcPr>
            <w:tcW w:w="1350" w:type="dxa"/>
            <w:shd w:val="clear" w:color="auto" w:fill="auto"/>
            <w:vAlign w:val="center"/>
          </w:tcPr>
          <w:p w14:paraId="3272170D" w14:textId="77777777" w:rsidR="008D02B1" w:rsidRPr="005F48F3" w:rsidRDefault="008D02B1" w:rsidP="00161C40">
            <w:pPr>
              <w:jc w:val="center"/>
            </w:pPr>
            <w:r w:rsidRPr="005F48F3">
              <w:t>8 S.</w:t>
            </w:r>
          </w:p>
        </w:tc>
        <w:tc>
          <w:tcPr>
            <w:tcW w:w="1080" w:type="dxa"/>
            <w:shd w:val="clear" w:color="auto" w:fill="auto"/>
            <w:vAlign w:val="center"/>
          </w:tcPr>
          <w:p w14:paraId="3272170E" w14:textId="77777777" w:rsidR="008D02B1" w:rsidRPr="005F48F3" w:rsidRDefault="008D02B1" w:rsidP="00161C40">
            <w:pPr>
              <w:jc w:val="center"/>
            </w:pPr>
            <w:r w:rsidRPr="005F48F3">
              <w:t>19 E.</w:t>
            </w:r>
          </w:p>
        </w:tc>
        <w:tc>
          <w:tcPr>
            <w:tcW w:w="937" w:type="dxa"/>
            <w:shd w:val="clear" w:color="auto" w:fill="auto"/>
            <w:vAlign w:val="center"/>
          </w:tcPr>
          <w:p w14:paraId="3272170F" w14:textId="77777777" w:rsidR="008D02B1" w:rsidRPr="005F48F3" w:rsidRDefault="008D02B1" w:rsidP="00161C40">
            <w:pPr>
              <w:jc w:val="center"/>
            </w:pPr>
            <w:r w:rsidRPr="005F48F3">
              <w:t>4</w:t>
            </w:r>
          </w:p>
        </w:tc>
        <w:tc>
          <w:tcPr>
            <w:tcW w:w="1583" w:type="dxa"/>
            <w:shd w:val="clear" w:color="auto" w:fill="auto"/>
            <w:vAlign w:val="center"/>
          </w:tcPr>
          <w:p w14:paraId="32721710" w14:textId="77777777" w:rsidR="008D02B1" w:rsidRPr="005F48F3" w:rsidRDefault="008D02B1" w:rsidP="00161C40">
            <w:pPr>
              <w:jc w:val="center"/>
            </w:pPr>
            <w:r w:rsidRPr="005F48F3">
              <w:t>NWSE</w:t>
            </w:r>
          </w:p>
        </w:tc>
        <w:tc>
          <w:tcPr>
            <w:tcW w:w="1350" w:type="dxa"/>
            <w:shd w:val="clear" w:color="auto" w:fill="auto"/>
            <w:vAlign w:val="center"/>
          </w:tcPr>
          <w:p w14:paraId="32721711" w14:textId="77777777" w:rsidR="008D02B1" w:rsidRPr="005F48F3" w:rsidRDefault="008D02B1" w:rsidP="00161C40">
            <w:pPr>
              <w:jc w:val="center"/>
            </w:pPr>
            <w:r w:rsidRPr="005F48F3">
              <w:t>83294</w:t>
            </w:r>
          </w:p>
        </w:tc>
        <w:tc>
          <w:tcPr>
            <w:tcW w:w="1800" w:type="dxa"/>
            <w:shd w:val="clear" w:color="auto" w:fill="auto"/>
            <w:vAlign w:val="center"/>
          </w:tcPr>
          <w:p w14:paraId="32721712" w14:textId="77777777" w:rsidR="008D02B1" w:rsidRPr="005F48F3" w:rsidRDefault="008D02B1" w:rsidP="00161C40">
            <w:pPr>
              <w:jc w:val="center"/>
            </w:pPr>
            <w:r w:rsidRPr="005F48F3">
              <w:t>12.2</w:t>
            </w:r>
          </w:p>
        </w:tc>
      </w:tr>
      <w:tr w:rsidR="008D02B1" w:rsidRPr="005F48F3" w14:paraId="3272171A" w14:textId="77777777" w:rsidTr="00BE24DC">
        <w:tc>
          <w:tcPr>
            <w:tcW w:w="1350" w:type="dxa"/>
            <w:shd w:val="clear" w:color="auto" w:fill="auto"/>
            <w:vAlign w:val="center"/>
          </w:tcPr>
          <w:p w14:paraId="32721714" w14:textId="77777777" w:rsidR="008D02B1" w:rsidRPr="005F48F3" w:rsidRDefault="008D02B1" w:rsidP="00161C40">
            <w:pPr>
              <w:jc w:val="center"/>
            </w:pPr>
            <w:r w:rsidRPr="005F48F3">
              <w:t xml:space="preserve">8 S. </w:t>
            </w:r>
          </w:p>
        </w:tc>
        <w:tc>
          <w:tcPr>
            <w:tcW w:w="1080" w:type="dxa"/>
            <w:shd w:val="clear" w:color="auto" w:fill="auto"/>
            <w:vAlign w:val="center"/>
          </w:tcPr>
          <w:p w14:paraId="32721715" w14:textId="77777777" w:rsidR="008D02B1" w:rsidRPr="005F48F3" w:rsidRDefault="008D02B1" w:rsidP="00161C40">
            <w:pPr>
              <w:jc w:val="center"/>
            </w:pPr>
            <w:r w:rsidRPr="005F48F3">
              <w:t>19 E</w:t>
            </w:r>
          </w:p>
        </w:tc>
        <w:tc>
          <w:tcPr>
            <w:tcW w:w="937" w:type="dxa"/>
            <w:shd w:val="clear" w:color="auto" w:fill="auto"/>
            <w:vAlign w:val="center"/>
          </w:tcPr>
          <w:p w14:paraId="32721716" w14:textId="77777777" w:rsidR="008D02B1" w:rsidRPr="005F48F3" w:rsidRDefault="008D02B1" w:rsidP="00161C40">
            <w:pPr>
              <w:jc w:val="center"/>
            </w:pPr>
            <w:r w:rsidRPr="005F48F3">
              <w:t>4</w:t>
            </w:r>
          </w:p>
        </w:tc>
        <w:tc>
          <w:tcPr>
            <w:tcW w:w="1583" w:type="dxa"/>
            <w:shd w:val="clear" w:color="auto" w:fill="auto"/>
            <w:vAlign w:val="center"/>
          </w:tcPr>
          <w:p w14:paraId="32721717" w14:textId="77777777" w:rsidR="008D02B1" w:rsidRPr="005F48F3" w:rsidRDefault="008D02B1" w:rsidP="00161C40">
            <w:pPr>
              <w:jc w:val="center"/>
            </w:pPr>
            <w:r w:rsidRPr="005F48F3">
              <w:t>NESE</w:t>
            </w:r>
          </w:p>
        </w:tc>
        <w:tc>
          <w:tcPr>
            <w:tcW w:w="1350" w:type="dxa"/>
            <w:shd w:val="clear" w:color="auto" w:fill="auto"/>
            <w:vAlign w:val="center"/>
          </w:tcPr>
          <w:p w14:paraId="32721718" w14:textId="77777777" w:rsidR="008D02B1" w:rsidRPr="005F48F3" w:rsidRDefault="008D02B1" w:rsidP="00161C40">
            <w:pPr>
              <w:jc w:val="center"/>
            </w:pPr>
            <w:r w:rsidRPr="005F48F3">
              <w:t>83294</w:t>
            </w:r>
          </w:p>
        </w:tc>
        <w:tc>
          <w:tcPr>
            <w:tcW w:w="1800" w:type="dxa"/>
            <w:shd w:val="clear" w:color="auto" w:fill="auto"/>
            <w:vAlign w:val="center"/>
          </w:tcPr>
          <w:p w14:paraId="32721719" w14:textId="77777777" w:rsidR="008D02B1" w:rsidRPr="005F48F3" w:rsidRDefault="008D02B1" w:rsidP="00161C40">
            <w:pPr>
              <w:jc w:val="center"/>
            </w:pPr>
            <w:r w:rsidRPr="005F48F3">
              <w:t>1.0</w:t>
            </w:r>
          </w:p>
        </w:tc>
      </w:tr>
    </w:tbl>
    <w:p w14:paraId="3272171B" w14:textId="77777777" w:rsidR="008D02B1" w:rsidRDefault="008D02B1" w:rsidP="003E5BBC">
      <w:pPr>
        <w:ind w:left="720"/>
      </w:pPr>
      <w:r w:rsidRPr="00081F29">
        <w:t>*Point of Diversion</w:t>
      </w:r>
    </w:p>
    <w:p w14:paraId="3FC4310E" w14:textId="77777777" w:rsidR="00B8162F" w:rsidRDefault="00B8162F" w:rsidP="00B8162F">
      <w:pPr>
        <w:rPr>
          <w:rFonts w:eastAsia="Calibri"/>
        </w:rPr>
      </w:pPr>
    </w:p>
    <w:p w14:paraId="44605C5D" w14:textId="77777777" w:rsidR="00B8162F" w:rsidRPr="0038592A" w:rsidRDefault="00B8162F" w:rsidP="00B8162F">
      <w:pPr>
        <w:rPr>
          <w:rFonts w:eastAsia="Calibri"/>
          <w:color w:val="000000"/>
        </w:rPr>
      </w:pPr>
      <w:r w:rsidRPr="0038592A">
        <w:rPr>
          <w:rFonts w:eastAsia="Calibri"/>
        </w:rPr>
        <w:t xml:space="preserve">The Federal land would be conveyed subject to a reservation of ditches and canals pursuant </w:t>
      </w:r>
      <w:r w:rsidRPr="00971FCD">
        <w:rPr>
          <w:rFonts w:eastAsia="Calibri"/>
        </w:rPr>
        <w:t>to the Act of August 30, 1890</w:t>
      </w:r>
      <w:r w:rsidRPr="0038592A">
        <w:rPr>
          <w:rFonts w:eastAsia="Calibri"/>
        </w:rPr>
        <w:t xml:space="preserve"> (43 U.S.C. 945) and </w:t>
      </w:r>
      <w:r>
        <w:rPr>
          <w:rFonts w:eastAsia="Calibri"/>
        </w:rPr>
        <w:t xml:space="preserve">a </w:t>
      </w:r>
      <w:r w:rsidRPr="0038592A">
        <w:rPr>
          <w:rFonts w:eastAsia="Calibri"/>
          <w:color w:val="000000"/>
        </w:rPr>
        <w:t>right-of-way for</w:t>
      </w:r>
      <w:r>
        <w:rPr>
          <w:rFonts w:eastAsia="Calibri"/>
          <w:color w:val="000000"/>
        </w:rPr>
        <w:t xml:space="preserve"> an irrigation canal pursuant to the Act of March 3, 1891, (26 Stat. 1101), serialized OR-015772.</w:t>
      </w:r>
    </w:p>
    <w:p w14:paraId="3272171C" w14:textId="77777777" w:rsidR="003E5BBC" w:rsidRDefault="003E5BBC" w:rsidP="003E5BBC">
      <w:pPr>
        <w:ind w:left="720"/>
      </w:pPr>
    </w:p>
    <w:p w14:paraId="32721726" w14:textId="79CD2BD9" w:rsidR="008D02B1" w:rsidRPr="002A4661" w:rsidRDefault="008D02B1" w:rsidP="008D02B1">
      <w:pPr>
        <w:widowControl w:val="0"/>
        <w:numPr>
          <w:ilvl w:val="0"/>
          <w:numId w:val="13"/>
        </w:numPr>
        <w:autoSpaceDE w:val="0"/>
        <w:autoSpaceDN w:val="0"/>
        <w:adjustRightInd w:val="0"/>
        <w:rPr>
          <w:b/>
        </w:rPr>
      </w:pPr>
      <w:r w:rsidRPr="002A4661">
        <w:rPr>
          <w:b/>
        </w:rPr>
        <w:t>The n</w:t>
      </w:r>
      <w:r w:rsidRPr="002A4661">
        <w:rPr>
          <w:b/>
          <w:color w:val="000000"/>
        </w:rPr>
        <w:t>on-Federal Land</w:t>
      </w:r>
      <w:r>
        <w:rPr>
          <w:b/>
          <w:color w:val="000000"/>
        </w:rPr>
        <w:t xml:space="preserve"> </w:t>
      </w:r>
      <w:r w:rsidRPr="002A4661">
        <w:rPr>
          <w:b/>
          <w:color w:val="000000"/>
        </w:rPr>
        <w:t>- OR-65927-PT</w:t>
      </w:r>
    </w:p>
    <w:p w14:paraId="32721727" w14:textId="77777777" w:rsidR="008D02B1" w:rsidRPr="002A4661" w:rsidRDefault="008D02B1" w:rsidP="008D02B1">
      <w:pPr>
        <w:spacing w:line="240" w:lineRule="atLeast"/>
        <w:ind w:left="1440"/>
        <w:rPr>
          <w:color w:val="000000"/>
        </w:rPr>
      </w:pPr>
    </w:p>
    <w:p w14:paraId="041839EE" w14:textId="21B440D8" w:rsidR="0028056A" w:rsidRDefault="008D02B1" w:rsidP="008D02B1">
      <w:pPr>
        <w:sectPr w:rsidR="0028056A" w:rsidSect="000467B5">
          <w:footerReference w:type="default" r:id="rId14"/>
          <w:pgSz w:w="12242" w:h="15842" w:code="1"/>
          <w:pgMar w:top="1440" w:right="1440" w:bottom="1152" w:left="1440" w:header="720" w:footer="720" w:gutter="0"/>
          <w:pgNumType w:start="1"/>
          <w:cols w:space="720"/>
          <w:noEndnote/>
          <w:docGrid w:linePitch="360"/>
        </w:sectPr>
      </w:pPr>
      <w:r>
        <w:t xml:space="preserve">All that part of the Southeast Quarter of the Northwest Quarter of Section 10, </w:t>
      </w:r>
      <w:r w:rsidRPr="002A4661">
        <w:t>T</w:t>
      </w:r>
      <w:r>
        <w:t>ownship</w:t>
      </w:r>
      <w:r w:rsidRPr="002A4661">
        <w:t xml:space="preserve"> 8 S</w:t>
      </w:r>
      <w:r>
        <w:t>outh</w:t>
      </w:r>
      <w:r w:rsidRPr="002A4661">
        <w:t>, R</w:t>
      </w:r>
      <w:r>
        <w:t>ange</w:t>
      </w:r>
      <w:r w:rsidRPr="002A4661">
        <w:t xml:space="preserve"> 19 E</w:t>
      </w:r>
      <w:r>
        <w:t xml:space="preserve">ast, Willamette </w:t>
      </w:r>
      <w:r w:rsidRPr="002A4661">
        <w:t>M</w:t>
      </w:r>
      <w:r>
        <w:t xml:space="preserve">eridian, lying South and East of the John Day River, excepting the County Road, Wheeler County, Oregon, also known as </w:t>
      </w:r>
      <w:r w:rsidR="0028056A">
        <w:t>T</w:t>
      </w:r>
      <w:r>
        <w:t xml:space="preserve">ax </w:t>
      </w:r>
      <w:r w:rsidR="0028056A">
        <w:t>L</w:t>
      </w:r>
      <w:r>
        <w:t>ot 8S19E-902; comprising 15.43 ac</w:t>
      </w:r>
      <w:r w:rsidR="00997A0C">
        <w:t>res.</w:t>
      </w:r>
    </w:p>
    <w:p w14:paraId="3272172A" w14:textId="77FDCEC2" w:rsidR="002A62E7" w:rsidRDefault="002A62E7" w:rsidP="003070C4">
      <w:pPr>
        <w:jc w:val="center"/>
        <w:rPr>
          <w:b/>
        </w:rPr>
      </w:pPr>
      <w:r w:rsidRPr="00564BCF">
        <w:rPr>
          <w:b/>
        </w:rPr>
        <w:lastRenderedPageBreak/>
        <w:t xml:space="preserve">Exhibit </w:t>
      </w:r>
      <w:r>
        <w:rPr>
          <w:b/>
        </w:rPr>
        <w:t>B</w:t>
      </w:r>
    </w:p>
    <w:p w14:paraId="3272172B" w14:textId="77777777" w:rsidR="002A62E7" w:rsidRPr="003D17E0" w:rsidRDefault="003D7434" w:rsidP="002A62E7">
      <w:pPr>
        <w:pStyle w:val="Style"/>
        <w:ind w:right="-24"/>
        <w:jc w:val="center"/>
        <w:rPr>
          <w:b/>
        </w:rPr>
      </w:pPr>
      <w:r w:rsidRPr="003D17E0">
        <w:rPr>
          <w:b/>
        </w:rPr>
        <w:t>Map</w:t>
      </w:r>
    </w:p>
    <w:p w14:paraId="3272172C" w14:textId="77777777" w:rsidR="003D7434" w:rsidRPr="003D17E0" w:rsidRDefault="003D7434" w:rsidP="002A62E7">
      <w:pPr>
        <w:pStyle w:val="Style"/>
        <w:ind w:right="-24"/>
        <w:jc w:val="center"/>
        <w:rPr>
          <w:b/>
        </w:rPr>
      </w:pPr>
      <w:r w:rsidRPr="003D17E0">
        <w:rPr>
          <w:b/>
        </w:rPr>
        <w:t>Federal and Non-Federal Land</w:t>
      </w:r>
    </w:p>
    <w:p w14:paraId="3272172D" w14:textId="77777777" w:rsidR="00F13159" w:rsidRDefault="00F13159" w:rsidP="008D3D6C">
      <w:pPr>
        <w:ind w:left="2880" w:hanging="2880"/>
        <w:rPr>
          <w:b/>
        </w:rPr>
      </w:pPr>
    </w:p>
    <w:sectPr w:rsidR="00F13159" w:rsidSect="000467B5">
      <w:footerReference w:type="default" r:id="rId15"/>
      <w:pgSz w:w="12242" w:h="15842" w:code="1"/>
      <w:pgMar w:top="1440" w:right="1440" w:bottom="1152" w:left="1440" w:header="720" w:footer="720"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721730" w14:textId="77777777" w:rsidR="00582681" w:rsidRDefault="00582681" w:rsidP="00836B4F">
      <w:pPr>
        <w:pStyle w:val="Style"/>
      </w:pPr>
      <w:r>
        <w:separator/>
      </w:r>
    </w:p>
  </w:endnote>
  <w:endnote w:type="continuationSeparator" w:id="0">
    <w:p w14:paraId="32721731" w14:textId="77777777" w:rsidR="00582681" w:rsidRDefault="00582681" w:rsidP="00836B4F">
      <w:pPr>
        <w:pStyle w:val="Styl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4097662"/>
      <w:docPartObj>
        <w:docPartGallery w:val="Page Numbers (Bottom of Page)"/>
        <w:docPartUnique/>
      </w:docPartObj>
    </w:sdtPr>
    <w:sdtEndPr>
      <w:rPr>
        <w:noProof/>
      </w:rPr>
    </w:sdtEndPr>
    <w:sdtContent>
      <w:p w14:paraId="29445D57" w14:textId="06CAE620" w:rsidR="00582681" w:rsidRDefault="00582681" w:rsidP="008A52CE">
        <w:pPr>
          <w:pStyle w:val="Footer"/>
          <w:jc w:val="center"/>
        </w:pPr>
        <w:r>
          <w:fldChar w:fldCharType="begin"/>
        </w:r>
        <w:r>
          <w:instrText xml:space="preserve"> PAGE   \* MERGEFORMAT </w:instrText>
        </w:r>
        <w:r>
          <w:fldChar w:fldCharType="separate"/>
        </w:r>
        <w:r w:rsidR="006D3FD9">
          <w:rPr>
            <w:noProof/>
          </w:rPr>
          <w:t>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2794869"/>
      <w:docPartObj>
        <w:docPartGallery w:val="Page Numbers (Bottom of Page)"/>
        <w:docPartUnique/>
      </w:docPartObj>
    </w:sdtPr>
    <w:sdtEndPr>
      <w:rPr>
        <w:noProof/>
      </w:rPr>
    </w:sdtEndPr>
    <w:sdtContent>
      <w:p w14:paraId="23D88437" w14:textId="11C67636" w:rsidR="00582681" w:rsidRDefault="00582681" w:rsidP="003070C4">
        <w:pPr>
          <w:pStyle w:val="Footer"/>
          <w:jc w:val="right"/>
        </w:pPr>
        <w:r>
          <w:rPr>
            <w:noProof/>
          </w:rPr>
          <w:t>Attachment 1</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0585221"/>
      <w:docPartObj>
        <w:docPartGallery w:val="Page Numbers (Bottom of Page)"/>
        <w:docPartUnique/>
      </w:docPartObj>
    </w:sdtPr>
    <w:sdtEndPr>
      <w:rPr>
        <w:noProof/>
      </w:rPr>
    </w:sdtEndPr>
    <w:sdtContent>
      <w:p w14:paraId="3EB2258F" w14:textId="05B1A3DA" w:rsidR="00582681" w:rsidRDefault="00582681" w:rsidP="003070C4">
        <w:pPr>
          <w:pStyle w:val="Footer"/>
          <w:jc w:val="right"/>
        </w:pPr>
        <w:r>
          <w:rPr>
            <w:noProof/>
          </w:rPr>
          <w:t>Attachment 2</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72172E" w14:textId="77777777" w:rsidR="00582681" w:rsidRDefault="00582681" w:rsidP="00836B4F">
      <w:pPr>
        <w:pStyle w:val="Style"/>
      </w:pPr>
      <w:r>
        <w:separator/>
      </w:r>
    </w:p>
  </w:footnote>
  <w:footnote w:type="continuationSeparator" w:id="0">
    <w:p w14:paraId="3272172F" w14:textId="77777777" w:rsidR="00582681" w:rsidRDefault="00582681" w:rsidP="00836B4F">
      <w:pPr>
        <w:pStyle w:val="Style"/>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1733D"/>
    <w:multiLevelType w:val="hybridMultilevel"/>
    <w:tmpl w:val="8DFEBBE0"/>
    <w:lvl w:ilvl="0" w:tplc="A63CBC3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20E7D59"/>
    <w:multiLevelType w:val="hybridMultilevel"/>
    <w:tmpl w:val="1B46BE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35F785C"/>
    <w:multiLevelType w:val="multilevel"/>
    <w:tmpl w:val="552AC4C6"/>
    <w:lvl w:ilvl="0">
      <w:start w:val="1"/>
      <w:numFmt w:val="decimal"/>
      <w:lvlText w:val="%1."/>
      <w:lvlJc w:val="left"/>
      <w:pPr>
        <w:ind w:left="720" w:hanging="360"/>
      </w:pPr>
      <w:rPr>
        <w:rFonts w:cstheme="minorHAnsi" w:hint="default"/>
      </w:rPr>
    </w:lvl>
    <w:lvl w:ilvl="1">
      <w:numFmt w:val="decimal"/>
      <w:isLgl/>
      <w:lvlText w:val="%1.%2"/>
      <w:lvlJc w:val="left"/>
      <w:pPr>
        <w:ind w:left="1065" w:hanging="705"/>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3">
    <w:nsid w:val="0B1B3739"/>
    <w:multiLevelType w:val="hybridMultilevel"/>
    <w:tmpl w:val="056A1D8C"/>
    <w:lvl w:ilvl="0" w:tplc="DB7E024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5E359D"/>
    <w:multiLevelType w:val="hybridMultilevel"/>
    <w:tmpl w:val="1586FCE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
    <w:nsid w:val="0CBE7FAE"/>
    <w:multiLevelType w:val="hybridMultilevel"/>
    <w:tmpl w:val="4F2EF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E10530"/>
    <w:multiLevelType w:val="hybridMultilevel"/>
    <w:tmpl w:val="C0340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1F02F3"/>
    <w:multiLevelType w:val="hybridMultilevel"/>
    <w:tmpl w:val="418C28FE"/>
    <w:lvl w:ilvl="0" w:tplc="EF0E744E">
      <w:start w:val="7"/>
      <w:numFmt w:val="bullet"/>
      <w:lvlText w:val=""/>
      <w:lvlJc w:val="left"/>
      <w:pPr>
        <w:ind w:left="1440" w:hanging="360"/>
      </w:pPr>
      <w:rPr>
        <w:rFonts w:ascii="Symbol" w:eastAsia="Times New Roman"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8">
    <w:nsid w:val="184A73B0"/>
    <w:multiLevelType w:val="hybridMultilevel"/>
    <w:tmpl w:val="98D46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286475"/>
    <w:multiLevelType w:val="hybridMultilevel"/>
    <w:tmpl w:val="47FCF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490852"/>
    <w:multiLevelType w:val="hybridMultilevel"/>
    <w:tmpl w:val="CB783F30"/>
    <w:lvl w:ilvl="0" w:tplc="2C40F4F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15146D"/>
    <w:multiLevelType w:val="hybridMultilevel"/>
    <w:tmpl w:val="A2BC8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C835A6"/>
    <w:multiLevelType w:val="hybridMultilevel"/>
    <w:tmpl w:val="276CE366"/>
    <w:lvl w:ilvl="0" w:tplc="BC6855F6">
      <w:start w:val="20"/>
      <w:numFmt w:val="bullet"/>
      <w:lvlText w:val="-"/>
      <w:lvlJc w:val="left"/>
      <w:pPr>
        <w:ind w:left="1080" w:hanging="360"/>
      </w:pPr>
      <w:rPr>
        <w:rFonts w:ascii="Courier" w:eastAsiaTheme="minorHAnsi" w:hAnsi="Courier" w:cs="Courie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8B4119B"/>
    <w:multiLevelType w:val="hybridMultilevel"/>
    <w:tmpl w:val="2CD8BD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99961AE"/>
    <w:multiLevelType w:val="hybridMultilevel"/>
    <w:tmpl w:val="33B40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257176"/>
    <w:multiLevelType w:val="hybridMultilevel"/>
    <w:tmpl w:val="FA38F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C83C09"/>
    <w:multiLevelType w:val="hybridMultilevel"/>
    <w:tmpl w:val="06CC41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EE00E2"/>
    <w:multiLevelType w:val="hybridMultilevel"/>
    <w:tmpl w:val="78804582"/>
    <w:lvl w:ilvl="0" w:tplc="0E80C07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254442"/>
    <w:multiLevelType w:val="hybridMultilevel"/>
    <w:tmpl w:val="BCF45B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36D0199"/>
    <w:multiLevelType w:val="hybridMultilevel"/>
    <w:tmpl w:val="D7F4420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A974B5"/>
    <w:multiLevelType w:val="hybridMultilevel"/>
    <w:tmpl w:val="6C1CD97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4E55144"/>
    <w:multiLevelType w:val="hybridMultilevel"/>
    <w:tmpl w:val="158879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61F5320"/>
    <w:multiLevelType w:val="hybridMultilevel"/>
    <w:tmpl w:val="BF6E7C6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nsid w:val="50DC5FDE"/>
    <w:multiLevelType w:val="hybridMultilevel"/>
    <w:tmpl w:val="15887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9A71777"/>
    <w:multiLevelType w:val="hybridMultilevel"/>
    <w:tmpl w:val="5846F57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1A82767"/>
    <w:multiLevelType w:val="multilevel"/>
    <w:tmpl w:val="A184F264"/>
    <w:lvl w:ilvl="0">
      <w:start w:val="3"/>
      <w:numFmt w:val="decimal"/>
      <w:lvlText w:val="%1.0"/>
      <w:lvlJc w:val="left"/>
      <w:pPr>
        <w:ind w:left="1080" w:hanging="360"/>
      </w:pPr>
      <w:rPr>
        <w:rFonts w:hint="default"/>
        <w:u w:val="none"/>
      </w:rPr>
    </w:lvl>
    <w:lvl w:ilvl="1">
      <w:start w:val="1"/>
      <w:numFmt w:val="decimal"/>
      <w:lvlText w:val="%1.%2"/>
      <w:lvlJc w:val="left"/>
      <w:pPr>
        <w:ind w:left="1800" w:hanging="360"/>
      </w:pPr>
      <w:rPr>
        <w:rFonts w:hint="default"/>
        <w:u w:val="none"/>
      </w:rPr>
    </w:lvl>
    <w:lvl w:ilvl="2">
      <w:start w:val="1"/>
      <w:numFmt w:val="decimal"/>
      <w:lvlText w:val="%1.%2.%3"/>
      <w:lvlJc w:val="left"/>
      <w:pPr>
        <w:ind w:left="2880" w:hanging="720"/>
      </w:pPr>
      <w:rPr>
        <w:rFonts w:hint="default"/>
        <w:u w:val="none"/>
      </w:rPr>
    </w:lvl>
    <w:lvl w:ilvl="3">
      <w:start w:val="1"/>
      <w:numFmt w:val="decimal"/>
      <w:lvlText w:val="%1.%2.%3.%4"/>
      <w:lvlJc w:val="left"/>
      <w:pPr>
        <w:ind w:left="3600" w:hanging="720"/>
      </w:pPr>
      <w:rPr>
        <w:rFonts w:hint="default"/>
        <w:u w:val="none"/>
      </w:rPr>
    </w:lvl>
    <w:lvl w:ilvl="4">
      <w:start w:val="1"/>
      <w:numFmt w:val="decimal"/>
      <w:lvlText w:val="%1.%2.%3.%4.%5"/>
      <w:lvlJc w:val="left"/>
      <w:pPr>
        <w:ind w:left="4680" w:hanging="1080"/>
      </w:pPr>
      <w:rPr>
        <w:rFonts w:hint="default"/>
        <w:u w:val="none"/>
      </w:rPr>
    </w:lvl>
    <w:lvl w:ilvl="5">
      <w:start w:val="1"/>
      <w:numFmt w:val="decimal"/>
      <w:lvlText w:val="%1.%2.%3.%4.%5.%6"/>
      <w:lvlJc w:val="left"/>
      <w:pPr>
        <w:ind w:left="5400" w:hanging="1080"/>
      </w:pPr>
      <w:rPr>
        <w:rFonts w:hint="default"/>
        <w:u w:val="none"/>
      </w:rPr>
    </w:lvl>
    <w:lvl w:ilvl="6">
      <w:start w:val="1"/>
      <w:numFmt w:val="decimal"/>
      <w:lvlText w:val="%1.%2.%3.%4.%5.%6.%7"/>
      <w:lvlJc w:val="left"/>
      <w:pPr>
        <w:ind w:left="6480" w:hanging="1440"/>
      </w:pPr>
      <w:rPr>
        <w:rFonts w:hint="default"/>
        <w:u w:val="none"/>
      </w:rPr>
    </w:lvl>
    <w:lvl w:ilvl="7">
      <w:start w:val="1"/>
      <w:numFmt w:val="decimal"/>
      <w:lvlText w:val="%1.%2.%3.%4.%5.%6.%7.%8"/>
      <w:lvlJc w:val="left"/>
      <w:pPr>
        <w:ind w:left="7200" w:hanging="1440"/>
      </w:pPr>
      <w:rPr>
        <w:rFonts w:hint="default"/>
        <w:u w:val="none"/>
      </w:rPr>
    </w:lvl>
    <w:lvl w:ilvl="8">
      <w:start w:val="1"/>
      <w:numFmt w:val="decimal"/>
      <w:lvlText w:val="%1.%2.%3.%4.%5.%6.%7.%8.%9"/>
      <w:lvlJc w:val="left"/>
      <w:pPr>
        <w:ind w:left="8280" w:hanging="1800"/>
      </w:pPr>
      <w:rPr>
        <w:rFonts w:hint="default"/>
        <w:u w:val="none"/>
      </w:rPr>
    </w:lvl>
  </w:abstractNum>
  <w:abstractNum w:abstractNumId="26">
    <w:nsid w:val="68956D7D"/>
    <w:multiLevelType w:val="hybridMultilevel"/>
    <w:tmpl w:val="24DA1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D662326"/>
    <w:multiLevelType w:val="hybridMultilevel"/>
    <w:tmpl w:val="CB783F30"/>
    <w:lvl w:ilvl="0" w:tplc="2C40F4F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26264A4"/>
    <w:multiLevelType w:val="hybridMultilevel"/>
    <w:tmpl w:val="8B001A1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9">
    <w:nsid w:val="7A241292"/>
    <w:multiLevelType w:val="hybridMultilevel"/>
    <w:tmpl w:val="CF102C60"/>
    <w:lvl w:ilvl="0" w:tplc="87EE284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CDC4559"/>
    <w:multiLevelType w:val="hybridMultilevel"/>
    <w:tmpl w:val="3690C3AC"/>
    <w:lvl w:ilvl="0" w:tplc="04090003">
      <w:start w:val="1"/>
      <w:numFmt w:val="bullet"/>
      <w:lvlText w:val="o"/>
      <w:lvlJc w:val="left"/>
      <w:pPr>
        <w:tabs>
          <w:tab w:val="num" w:pos="900"/>
        </w:tabs>
        <w:ind w:left="900" w:hanging="360"/>
      </w:pPr>
      <w:rPr>
        <w:rFonts w:ascii="Courier New" w:hAnsi="Courier New" w:cs="Courier New"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num w:numId="1">
    <w:abstractNumId w:val="21"/>
  </w:num>
  <w:num w:numId="2">
    <w:abstractNumId w:val="1"/>
  </w:num>
  <w:num w:numId="3">
    <w:abstractNumId w:val="30"/>
  </w:num>
  <w:num w:numId="4">
    <w:abstractNumId w:val="26"/>
  </w:num>
  <w:num w:numId="5">
    <w:abstractNumId w:val="3"/>
  </w:num>
  <w:num w:numId="6">
    <w:abstractNumId w:val="7"/>
  </w:num>
  <w:num w:numId="7">
    <w:abstractNumId w:val="23"/>
  </w:num>
  <w:num w:numId="8">
    <w:abstractNumId w:val="0"/>
  </w:num>
  <w:num w:numId="9">
    <w:abstractNumId w:val="18"/>
  </w:num>
  <w:num w:numId="10">
    <w:abstractNumId w:val="25"/>
  </w:num>
  <w:num w:numId="11">
    <w:abstractNumId w:val="13"/>
  </w:num>
  <w:num w:numId="12">
    <w:abstractNumId w:val="12"/>
  </w:num>
  <w:num w:numId="13">
    <w:abstractNumId w:val="29"/>
  </w:num>
  <w:num w:numId="14">
    <w:abstractNumId w:val="2"/>
  </w:num>
  <w:num w:numId="15">
    <w:abstractNumId w:val="22"/>
  </w:num>
  <w:num w:numId="16">
    <w:abstractNumId w:val="16"/>
  </w:num>
  <w:num w:numId="17">
    <w:abstractNumId w:val="5"/>
  </w:num>
  <w:num w:numId="18">
    <w:abstractNumId w:val="20"/>
  </w:num>
  <w:num w:numId="19">
    <w:abstractNumId w:val="8"/>
  </w:num>
  <w:num w:numId="20">
    <w:abstractNumId w:val="17"/>
  </w:num>
  <w:num w:numId="21">
    <w:abstractNumId w:val="15"/>
  </w:num>
  <w:num w:numId="22">
    <w:abstractNumId w:val="10"/>
  </w:num>
  <w:num w:numId="23">
    <w:abstractNumId w:val="27"/>
  </w:num>
  <w:num w:numId="24">
    <w:abstractNumId w:val="24"/>
  </w:num>
  <w:num w:numId="25">
    <w:abstractNumId w:val="11"/>
  </w:num>
  <w:num w:numId="26">
    <w:abstractNumId w:val="6"/>
  </w:num>
  <w:num w:numId="27">
    <w:abstractNumId w:val="28"/>
  </w:num>
  <w:num w:numId="28">
    <w:abstractNumId w:val="4"/>
  </w:num>
  <w:num w:numId="29">
    <w:abstractNumId w:val="14"/>
  </w:num>
  <w:num w:numId="30">
    <w:abstractNumId w:val="9"/>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61793"/>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9A4"/>
    <w:rsid w:val="00000392"/>
    <w:rsid w:val="00004F5D"/>
    <w:rsid w:val="00005077"/>
    <w:rsid w:val="00005855"/>
    <w:rsid w:val="000104BE"/>
    <w:rsid w:val="00011A21"/>
    <w:rsid w:val="0001257D"/>
    <w:rsid w:val="00013AC6"/>
    <w:rsid w:val="0001649B"/>
    <w:rsid w:val="00021E44"/>
    <w:rsid w:val="00021FB8"/>
    <w:rsid w:val="00022542"/>
    <w:rsid w:val="00022FA5"/>
    <w:rsid w:val="000231D6"/>
    <w:rsid w:val="0002605B"/>
    <w:rsid w:val="000262A1"/>
    <w:rsid w:val="00027348"/>
    <w:rsid w:val="000319B1"/>
    <w:rsid w:val="00031AFF"/>
    <w:rsid w:val="000339A2"/>
    <w:rsid w:val="00040991"/>
    <w:rsid w:val="00041C1B"/>
    <w:rsid w:val="0004420F"/>
    <w:rsid w:val="00044B5D"/>
    <w:rsid w:val="000462BC"/>
    <w:rsid w:val="000467B5"/>
    <w:rsid w:val="00047631"/>
    <w:rsid w:val="00047EF6"/>
    <w:rsid w:val="0005368D"/>
    <w:rsid w:val="0005599F"/>
    <w:rsid w:val="000600F4"/>
    <w:rsid w:val="0006354A"/>
    <w:rsid w:val="000638BF"/>
    <w:rsid w:val="00066126"/>
    <w:rsid w:val="000666E2"/>
    <w:rsid w:val="00067809"/>
    <w:rsid w:val="00067976"/>
    <w:rsid w:val="00071E4A"/>
    <w:rsid w:val="0007488B"/>
    <w:rsid w:val="00075A48"/>
    <w:rsid w:val="00076A49"/>
    <w:rsid w:val="0008734E"/>
    <w:rsid w:val="00090496"/>
    <w:rsid w:val="00090EED"/>
    <w:rsid w:val="000917AE"/>
    <w:rsid w:val="0009364A"/>
    <w:rsid w:val="00093C50"/>
    <w:rsid w:val="00094590"/>
    <w:rsid w:val="000949BD"/>
    <w:rsid w:val="00094F23"/>
    <w:rsid w:val="00096802"/>
    <w:rsid w:val="000A011B"/>
    <w:rsid w:val="000A054A"/>
    <w:rsid w:val="000A277B"/>
    <w:rsid w:val="000B0DC9"/>
    <w:rsid w:val="000B2559"/>
    <w:rsid w:val="000B69A9"/>
    <w:rsid w:val="000B6FD7"/>
    <w:rsid w:val="000C54AA"/>
    <w:rsid w:val="000C62DB"/>
    <w:rsid w:val="000D0D5D"/>
    <w:rsid w:val="000D3770"/>
    <w:rsid w:val="000D7C56"/>
    <w:rsid w:val="000D7CB7"/>
    <w:rsid w:val="000E051D"/>
    <w:rsid w:val="000E09DD"/>
    <w:rsid w:val="000E1458"/>
    <w:rsid w:val="000E3D26"/>
    <w:rsid w:val="000E6093"/>
    <w:rsid w:val="000E7948"/>
    <w:rsid w:val="000F0548"/>
    <w:rsid w:val="000F149B"/>
    <w:rsid w:val="000F3051"/>
    <w:rsid w:val="000F3B5D"/>
    <w:rsid w:val="000F6FCE"/>
    <w:rsid w:val="000F7385"/>
    <w:rsid w:val="001002B6"/>
    <w:rsid w:val="00101007"/>
    <w:rsid w:val="0010255D"/>
    <w:rsid w:val="001032E9"/>
    <w:rsid w:val="00105688"/>
    <w:rsid w:val="0010709B"/>
    <w:rsid w:val="00111A3E"/>
    <w:rsid w:val="00112FF4"/>
    <w:rsid w:val="001158C3"/>
    <w:rsid w:val="001167CD"/>
    <w:rsid w:val="00121B3A"/>
    <w:rsid w:val="00124B50"/>
    <w:rsid w:val="00131479"/>
    <w:rsid w:val="00134C33"/>
    <w:rsid w:val="001359A6"/>
    <w:rsid w:val="00144767"/>
    <w:rsid w:val="001467B3"/>
    <w:rsid w:val="0015150D"/>
    <w:rsid w:val="00153DB7"/>
    <w:rsid w:val="001568C0"/>
    <w:rsid w:val="001571F3"/>
    <w:rsid w:val="00160536"/>
    <w:rsid w:val="00161C40"/>
    <w:rsid w:val="00164CC4"/>
    <w:rsid w:val="001655BB"/>
    <w:rsid w:val="00166301"/>
    <w:rsid w:val="001708DC"/>
    <w:rsid w:val="00171A64"/>
    <w:rsid w:val="00171E3C"/>
    <w:rsid w:val="00172149"/>
    <w:rsid w:val="001752E6"/>
    <w:rsid w:val="00177DD7"/>
    <w:rsid w:val="00180A83"/>
    <w:rsid w:val="001810E2"/>
    <w:rsid w:val="00181BD2"/>
    <w:rsid w:val="00186AF5"/>
    <w:rsid w:val="00190C24"/>
    <w:rsid w:val="00196711"/>
    <w:rsid w:val="001968C0"/>
    <w:rsid w:val="0019715A"/>
    <w:rsid w:val="001A1C65"/>
    <w:rsid w:val="001A2421"/>
    <w:rsid w:val="001A64F8"/>
    <w:rsid w:val="001A7F5E"/>
    <w:rsid w:val="001B2BF7"/>
    <w:rsid w:val="001B3039"/>
    <w:rsid w:val="001B490E"/>
    <w:rsid w:val="001B4F7C"/>
    <w:rsid w:val="001B5F02"/>
    <w:rsid w:val="001B6B61"/>
    <w:rsid w:val="001C0246"/>
    <w:rsid w:val="001C1BA5"/>
    <w:rsid w:val="001C5088"/>
    <w:rsid w:val="001C600F"/>
    <w:rsid w:val="001C6B9B"/>
    <w:rsid w:val="001D3EA2"/>
    <w:rsid w:val="001D51F6"/>
    <w:rsid w:val="001D6000"/>
    <w:rsid w:val="001E0635"/>
    <w:rsid w:val="001E1102"/>
    <w:rsid w:val="001E2A42"/>
    <w:rsid w:val="001E5256"/>
    <w:rsid w:val="001E58F2"/>
    <w:rsid w:val="001F4767"/>
    <w:rsid w:val="001F6E34"/>
    <w:rsid w:val="001F7393"/>
    <w:rsid w:val="00201856"/>
    <w:rsid w:val="002036B0"/>
    <w:rsid w:val="002044D6"/>
    <w:rsid w:val="0020682F"/>
    <w:rsid w:val="002078AE"/>
    <w:rsid w:val="002158A4"/>
    <w:rsid w:val="00216CF0"/>
    <w:rsid w:val="00221D77"/>
    <w:rsid w:val="00222620"/>
    <w:rsid w:val="00223CE8"/>
    <w:rsid w:val="002309AE"/>
    <w:rsid w:val="00241806"/>
    <w:rsid w:val="00241EA0"/>
    <w:rsid w:val="002427C2"/>
    <w:rsid w:val="00247391"/>
    <w:rsid w:val="0025013E"/>
    <w:rsid w:val="002503BA"/>
    <w:rsid w:val="00254CF2"/>
    <w:rsid w:val="00256159"/>
    <w:rsid w:val="00261437"/>
    <w:rsid w:val="00264F75"/>
    <w:rsid w:val="00266439"/>
    <w:rsid w:val="00266BF1"/>
    <w:rsid w:val="0026750B"/>
    <w:rsid w:val="002678A3"/>
    <w:rsid w:val="00270321"/>
    <w:rsid w:val="002720B9"/>
    <w:rsid w:val="002737DD"/>
    <w:rsid w:val="00274CDF"/>
    <w:rsid w:val="0028056A"/>
    <w:rsid w:val="002806FE"/>
    <w:rsid w:val="002849E1"/>
    <w:rsid w:val="002859C4"/>
    <w:rsid w:val="00286992"/>
    <w:rsid w:val="002912B0"/>
    <w:rsid w:val="0029172B"/>
    <w:rsid w:val="00291E75"/>
    <w:rsid w:val="00293E6D"/>
    <w:rsid w:val="00295DD0"/>
    <w:rsid w:val="002A08AF"/>
    <w:rsid w:val="002A1BC4"/>
    <w:rsid w:val="002A2245"/>
    <w:rsid w:val="002A62E7"/>
    <w:rsid w:val="002A6E78"/>
    <w:rsid w:val="002B0264"/>
    <w:rsid w:val="002B5A4C"/>
    <w:rsid w:val="002B7596"/>
    <w:rsid w:val="002C0658"/>
    <w:rsid w:val="002C1ECF"/>
    <w:rsid w:val="002C4D37"/>
    <w:rsid w:val="002C67C8"/>
    <w:rsid w:val="002D2BF4"/>
    <w:rsid w:val="002D440F"/>
    <w:rsid w:val="002D4BA5"/>
    <w:rsid w:val="002D5402"/>
    <w:rsid w:val="002E2870"/>
    <w:rsid w:val="002E2A4D"/>
    <w:rsid w:val="002E370A"/>
    <w:rsid w:val="002E4D23"/>
    <w:rsid w:val="002E54D6"/>
    <w:rsid w:val="002E749F"/>
    <w:rsid w:val="002F0A4E"/>
    <w:rsid w:val="002F1C64"/>
    <w:rsid w:val="002F1D00"/>
    <w:rsid w:val="002F2940"/>
    <w:rsid w:val="002F4B2A"/>
    <w:rsid w:val="002F5300"/>
    <w:rsid w:val="002F5350"/>
    <w:rsid w:val="00304BA5"/>
    <w:rsid w:val="003051FA"/>
    <w:rsid w:val="003070C4"/>
    <w:rsid w:val="00310ED5"/>
    <w:rsid w:val="0031209E"/>
    <w:rsid w:val="00313B5B"/>
    <w:rsid w:val="00320A14"/>
    <w:rsid w:val="00324482"/>
    <w:rsid w:val="00325D87"/>
    <w:rsid w:val="00326568"/>
    <w:rsid w:val="0032732C"/>
    <w:rsid w:val="003276AF"/>
    <w:rsid w:val="00332EB1"/>
    <w:rsid w:val="00333375"/>
    <w:rsid w:val="0033643D"/>
    <w:rsid w:val="0033737A"/>
    <w:rsid w:val="003403F4"/>
    <w:rsid w:val="003412C2"/>
    <w:rsid w:val="003465D6"/>
    <w:rsid w:val="00346C60"/>
    <w:rsid w:val="00347178"/>
    <w:rsid w:val="00351935"/>
    <w:rsid w:val="00351D32"/>
    <w:rsid w:val="00352FA1"/>
    <w:rsid w:val="00353E85"/>
    <w:rsid w:val="00354E02"/>
    <w:rsid w:val="003550EC"/>
    <w:rsid w:val="00355A94"/>
    <w:rsid w:val="00355B3C"/>
    <w:rsid w:val="003568CE"/>
    <w:rsid w:val="00357BEB"/>
    <w:rsid w:val="0036171E"/>
    <w:rsid w:val="00364A60"/>
    <w:rsid w:val="003721CB"/>
    <w:rsid w:val="003742FC"/>
    <w:rsid w:val="00374464"/>
    <w:rsid w:val="0037474E"/>
    <w:rsid w:val="00376FAB"/>
    <w:rsid w:val="00377156"/>
    <w:rsid w:val="00380894"/>
    <w:rsid w:val="00381A48"/>
    <w:rsid w:val="0038255C"/>
    <w:rsid w:val="003830F6"/>
    <w:rsid w:val="00392E1B"/>
    <w:rsid w:val="0039312E"/>
    <w:rsid w:val="00394182"/>
    <w:rsid w:val="003952B3"/>
    <w:rsid w:val="0039569E"/>
    <w:rsid w:val="00397AF5"/>
    <w:rsid w:val="00397ED1"/>
    <w:rsid w:val="003A08A6"/>
    <w:rsid w:val="003A44CE"/>
    <w:rsid w:val="003A5B8A"/>
    <w:rsid w:val="003A6818"/>
    <w:rsid w:val="003A77AB"/>
    <w:rsid w:val="003B0B6A"/>
    <w:rsid w:val="003B163A"/>
    <w:rsid w:val="003B782E"/>
    <w:rsid w:val="003C0607"/>
    <w:rsid w:val="003C108D"/>
    <w:rsid w:val="003C1BA9"/>
    <w:rsid w:val="003C3FAD"/>
    <w:rsid w:val="003C4953"/>
    <w:rsid w:val="003C6D8E"/>
    <w:rsid w:val="003C7FF9"/>
    <w:rsid w:val="003D040E"/>
    <w:rsid w:val="003D17E0"/>
    <w:rsid w:val="003D2F59"/>
    <w:rsid w:val="003D4A36"/>
    <w:rsid w:val="003D4D82"/>
    <w:rsid w:val="003D53B9"/>
    <w:rsid w:val="003D6CFD"/>
    <w:rsid w:val="003D7434"/>
    <w:rsid w:val="003D7E13"/>
    <w:rsid w:val="003E2B79"/>
    <w:rsid w:val="003E5BBC"/>
    <w:rsid w:val="003E5D7E"/>
    <w:rsid w:val="003E7D7A"/>
    <w:rsid w:val="003E7F96"/>
    <w:rsid w:val="003F1ED1"/>
    <w:rsid w:val="003F3465"/>
    <w:rsid w:val="003F4978"/>
    <w:rsid w:val="003F4DE6"/>
    <w:rsid w:val="003F77E1"/>
    <w:rsid w:val="003F7A3D"/>
    <w:rsid w:val="0040055F"/>
    <w:rsid w:val="00404E20"/>
    <w:rsid w:val="00405415"/>
    <w:rsid w:val="00411768"/>
    <w:rsid w:val="00412B5E"/>
    <w:rsid w:val="00413A3F"/>
    <w:rsid w:val="00414061"/>
    <w:rsid w:val="00414886"/>
    <w:rsid w:val="004166AA"/>
    <w:rsid w:val="0041745D"/>
    <w:rsid w:val="00417DE1"/>
    <w:rsid w:val="00417F2C"/>
    <w:rsid w:val="00420CE4"/>
    <w:rsid w:val="00422DAE"/>
    <w:rsid w:val="00424BBA"/>
    <w:rsid w:val="0042646D"/>
    <w:rsid w:val="0042678A"/>
    <w:rsid w:val="00426F4F"/>
    <w:rsid w:val="0042762A"/>
    <w:rsid w:val="004307E7"/>
    <w:rsid w:val="004308F7"/>
    <w:rsid w:val="0043161D"/>
    <w:rsid w:val="00431856"/>
    <w:rsid w:val="00432D66"/>
    <w:rsid w:val="004332DA"/>
    <w:rsid w:val="00435AF4"/>
    <w:rsid w:val="00441E01"/>
    <w:rsid w:val="004420E1"/>
    <w:rsid w:val="0044278B"/>
    <w:rsid w:val="0044346B"/>
    <w:rsid w:val="00444EDE"/>
    <w:rsid w:val="00446229"/>
    <w:rsid w:val="0044647F"/>
    <w:rsid w:val="004475AF"/>
    <w:rsid w:val="00455EF6"/>
    <w:rsid w:val="00455FAF"/>
    <w:rsid w:val="004564B7"/>
    <w:rsid w:val="004565CE"/>
    <w:rsid w:val="00457611"/>
    <w:rsid w:val="00460FD9"/>
    <w:rsid w:val="00461A68"/>
    <w:rsid w:val="00462B3F"/>
    <w:rsid w:val="00462BF5"/>
    <w:rsid w:val="004648E2"/>
    <w:rsid w:val="00473EE2"/>
    <w:rsid w:val="00476CE4"/>
    <w:rsid w:val="0047786A"/>
    <w:rsid w:val="004821B3"/>
    <w:rsid w:val="00483C59"/>
    <w:rsid w:val="004847FD"/>
    <w:rsid w:val="00485EE1"/>
    <w:rsid w:val="00486191"/>
    <w:rsid w:val="00487535"/>
    <w:rsid w:val="00487C74"/>
    <w:rsid w:val="00490156"/>
    <w:rsid w:val="00490262"/>
    <w:rsid w:val="00490BF4"/>
    <w:rsid w:val="00491257"/>
    <w:rsid w:val="00493055"/>
    <w:rsid w:val="004937C5"/>
    <w:rsid w:val="004A3744"/>
    <w:rsid w:val="004A3CDF"/>
    <w:rsid w:val="004A4D6A"/>
    <w:rsid w:val="004A4EEA"/>
    <w:rsid w:val="004A7D2D"/>
    <w:rsid w:val="004B0C22"/>
    <w:rsid w:val="004B1F47"/>
    <w:rsid w:val="004B39A0"/>
    <w:rsid w:val="004B468B"/>
    <w:rsid w:val="004B4A9B"/>
    <w:rsid w:val="004B6B47"/>
    <w:rsid w:val="004C0613"/>
    <w:rsid w:val="004C1E43"/>
    <w:rsid w:val="004C62A9"/>
    <w:rsid w:val="004C6571"/>
    <w:rsid w:val="004C6807"/>
    <w:rsid w:val="004C6F0F"/>
    <w:rsid w:val="004D2E06"/>
    <w:rsid w:val="004D43B6"/>
    <w:rsid w:val="004D7413"/>
    <w:rsid w:val="004E1C05"/>
    <w:rsid w:val="004E2522"/>
    <w:rsid w:val="004E2D2B"/>
    <w:rsid w:val="004E31A8"/>
    <w:rsid w:val="004E6553"/>
    <w:rsid w:val="004E6FE1"/>
    <w:rsid w:val="004F0C97"/>
    <w:rsid w:val="004F0E8F"/>
    <w:rsid w:val="004F26F6"/>
    <w:rsid w:val="004F3566"/>
    <w:rsid w:val="004F43A2"/>
    <w:rsid w:val="004F6755"/>
    <w:rsid w:val="004F7579"/>
    <w:rsid w:val="005002EB"/>
    <w:rsid w:val="00503B42"/>
    <w:rsid w:val="00504F99"/>
    <w:rsid w:val="00505536"/>
    <w:rsid w:val="00512DE0"/>
    <w:rsid w:val="00514312"/>
    <w:rsid w:val="005175F9"/>
    <w:rsid w:val="00517F54"/>
    <w:rsid w:val="0052238D"/>
    <w:rsid w:val="00523DFA"/>
    <w:rsid w:val="00524405"/>
    <w:rsid w:val="00526EC9"/>
    <w:rsid w:val="00530D9C"/>
    <w:rsid w:val="0053180B"/>
    <w:rsid w:val="00531A2F"/>
    <w:rsid w:val="00531F6A"/>
    <w:rsid w:val="005331BF"/>
    <w:rsid w:val="00534301"/>
    <w:rsid w:val="005349BC"/>
    <w:rsid w:val="00536720"/>
    <w:rsid w:val="00536BAA"/>
    <w:rsid w:val="005371B1"/>
    <w:rsid w:val="00543977"/>
    <w:rsid w:val="00543BFB"/>
    <w:rsid w:val="00543D5B"/>
    <w:rsid w:val="00545F1E"/>
    <w:rsid w:val="00547F3A"/>
    <w:rsid w:val="00550E5E"/>
    <w:rsid w:val="005543E5"/>
    <w:rsid w:val="005577C8"/>
    <w:rsid w:val="00557C86"/>
    <w:rsid w:val="00561C6F"/>
    <w:rsid w:val="00562DE9"/>
    <w:rsid w:val="00563252"/>
    <w:rsid w:val="00564BCF"/>
    <w:rsid w:val="00566D95"/>
    <w:rsid w:val="00571548"/>
    <w:rsid w:val="005754DD"/>
    <w:rsid w:val="00576390"/>
    <w:rsid w:val="00576624"/>
    <w:rsid w:val="00577B65"/>
    <w:rsid w:val="00582681"/>
    <w:rsid w:val="00583D86"/>
    <w:rsid w:val="00583F52"/>
    <w:rsid w:val="00584C34"/>
    <w:rsid w:val="00587515"/>
    <w:rsid w:val="005926A3"/>
    <w:rsid w:val="00593385"/>
    <w:rsid w:val="00594520"/>
    <w:rsid w:val="00597A53"/>
    <w:rsid w:val="005A2C12"/>
    <w:rsid w:val="005A3465"/>
    <w:rsid w:val="005A456D"/>
    <w:rsid w:val="005A46D2"/>
    <w:rsid w:val="005A72CD"/>
    <w:rsid w:val="005B0FD5"/>
    <w:rsid w:val="005B20C6"/>
    <w:rsid w:val="005B57DD"/>
    <w:rsid w:val="005B7EEE"/>
    <w:rsid w:val="005C027E"/>
    <w:rsid w:val="005C0C10"/>
    <w:rsid w:val="005C0F98"/>
    <w:rsid w:val="005C1022"/>
    <w:rsid w:val="005C2C38"/>
    <w:rsid w:val="005C56FB"/>
    <w:rsid w:val="005D2B78"/>
    <w:rsid w:val="005D6D97"/>
    <w:rsid w:val="005E060F"/>
    <w:rsid w:val="005E1BFE"/>
    <w:rsid w:val="005E500E"/>
    <w:rsid w:val="005E6998"/>
    <w:rsid w:val="005E76C6"/>
    <w:rsid w:val="005F0B8A"/>
    <w:rsid w:val="005F3249"/>
    <w:rsid w:val="005F6365"/>
    <w:rsid w:val="005F797D"/>
    <w:rsid w:val="00601F75"/>
    <w:rsid w:val="006049A4"/>
    <w:rsid w:val="006052A1"/>
    <w:rsid w:val="006062F6"/>
    <w:rsid w:val="006066EF"/>
    <w:rsid w:val="006112B7"/>
    <w:rsid w:val="006121D4"/>
    <w:rsid w:val="006130D5"/>
    <w:rsid w:val="006135E6"/>
    <w:rsid w:val="00620C4F"/>
    <w:rsid w:val="00622511"/>
    <w:rsid w:val="00623B62"/>
    <w:rsid w:val="00624E02"/>
    <w:rsid w:val="0062551B"/>
    <w:rsid w:val="00625925"/>
    <w:rsid w:val="00627B48"/>
    <w:rsid w:val="00627BE6"/>
    <w:rsid w:val="00631F8E"/>
    <w:rsid w:val="006341E8"/>
    <w:rsid w:val="00634EA6"/>
    <w:rsid w:val="00637736"/>
    <w:rsid w:val="00637EC4"/>
    <w:rsid w:val="006416EA"/>
    <w:rsid w:val="0064182B"/>
    <w:rsid w:val="006442F9"/>
    <w:rsid w:val="006447C1"/>
    <w:rsid w:val="00647656"/>
    <w:rsid w:val="00647F12"/>
    <w:rsid w:val="00651855"/>
    <w:rsid w:val="00652E24"/>
    <w:rsid w:val="00653771"/>
    <w:rsid w:val="006563B5"/>
    <w:rsid w:val="00657E67"/>
    <w:rsid w:val="00657F71"/>
    <w:rsid w:val="006609E9"/>
    <w:rsid w:val="00662639"/>
    <w:rsid w:val="00671F28"/>
    <w:rsid w:val="00672156"/>
    <w:rsid w:val="00674955"/>
    <w:rsid w:val="006815B9"/>
    <w:rsid w:val="00682D8E"/>
    <w:rsid w:val="00683E44"/>
    <w:rsid w:val="006843E3"/>
    <w:rsid w:val="0068514C"/>
    <w:rsid w:val="00685A4A"/>
    <w:rsid w:val="00685BC3"/>
    <w:rsid w:val="00690EAA"/>
    <w:rsid w:val="00693742"/>
    <w:rsid w:val="006949CC"/>
    <w:rsid w:val="00696723"/>
    <w:rsid w:val="006979E2"/>
    <w:rsid w:val="006A0F6B"/>
    <w:rsid w:val="006A68EF"/>
    <w:rsid w:val="006A7434"/>
    <w:rsid w:val="006A7640"/>
    <w:rsid w:val="006B0DFB"/>
    <w:rsid w:val="006B1101"/>
    <w:rsid w:val="006B2D32"/>
    <w:rsid w:val="006B6A86"/>
    <w:rsid w:val="006C0169"/>
    <w:rsid w:val="006C01DF"/>
    <w:rsid w:val="006C047B"/>
    <w:rsid w:val="006C201D"/>
    <w:rsid w:val="006C620B"/>
    <w:rsid w:val="006C62C2"/>
    <w:rsid w:val="006C742C"/>
    <w:rsid w:val="006D0994"/>
    <w:rsid w:val="006D3FD9"/>
    <w:rsid w:val="006E1C69"/>
    <w:rsid w:val="006E733B"/>
    <w:rsid w:val="006E7F02"/>
    <w:rsid w:val="006F022A"/>
    <w:rsid w:val="006F350C"/>
    <w:rsid w:val="006F70D4"/>
    <w:rsid w:val="00700FD1"/>
    <w:rsid w:val="0070180B"/>
    <w:rsid w:val="007043CE"/>
    <w:rsid w:val="00706BF4"/>
    <w:rsid w:val="00711CC3"/>
    <w:rsid w:val="00711EC2"/>
    <w:rsid w:val="00712BCA"/>
    <w:rsid w:val="00712E5A"/>
    <w:rsid w:val="00713AB3"/>
    <w:rsid w:val="00714237"/>
    <w:rsid w:val="0071533D"/>
    <w:rsid w:val="00720D37"/>
    <w:rsid w:val="00721099"/>
    <w:rsid w:val="00722582"/>
    <w:rsid w:val="00726115"/>
    <w:rsid w:val="00727488"/>
    <w:rsid w:val="00734096"/>
    <w:rsid w:val="00734C2F"/>
    <w:rsid w:val="007379A3"/>
    <w:rsid w:val="007415A4"/>
    <w:rsid w:val="00741AA7"/>
    <w:rsid w:val="00742200"/>
    <w:rsid w:val="00742CE9"/>
    <w:rsid w:val="00744812"/>
    <w:rsid w:val="00744DC5"/>
    <w:rsid w:val="00744F1B"/>
    <w:rsid w:val="00745650"/>
    <w:rsid w:val="00746AEC"/>
    <w:rsid w:val="007515C4"/>
    <w:rsid w:val="00751836"/>
    <w:rsid w:val="00751C23"/>
    <w:rsid w:val="00752607"/>
    <w:rsid w:val="00752A2C"/>
    <w:rsid w:val="00756575"/>
    <w:rsid w:val="00756F56"/>
    <w:rsid w:val="00756F8F"/>
    <w:rsid w:val="00760613"/>
    <w:rsid w:val="00760F5E"/>
    <w:rsid w:val="007629C4"/>
    <w:rsid w:val="00764383"/>
    <w:rsid w:val="00764827"/>
    <w:rsid w:val="00771035"/>
    <w:rsid w:val="00773494"/>
    <w:rsid w:val="00774717"/>
    <w:rsid w:val="007758D0"/>
    <w:rsid w:val="00776168"/>
    <w:rsid w:val="007772A0"/>
    <w:rsid w:val="00780056"/>
    <w:rsid w:val="00780580"/>
    <w:rsid w:val="00781F4B"/>
    <w:rsid w:val="00782EB9"/>
    <w:rsid w:val="007834E3"/>
    <w:rsid w:val="0078622E"/>
    <w:rsid w:val="007908EA"/>
    <w:rsid w:val="00790BE0"/>
    <w:rsid w:val="00791FB6"/>
    <w:rsid w:val="0079300E"/>
    <w:rsid w:val="007A368C"/>
    <w:rsid w:val="007A3E9A"/>
    <w:rsid w:val="007A47A9"/>
    <w:rsid w:val="007A4F24"/>
    <w:rsid w:val="007A6502"/>
    <w:rsid w:val="007A655E"/>
    <w:rsid w:val="007A6AAB"/>
    <w:rsid w:val="007A774B"/>
    <w:rsid w:val="007B290C"/>
    <w:rsid w:val="007B5280"/>
    <w:rsid w:val="007B7B18"/>
    <w:rsid w:val="007C6171"/>
    <w:rsid w:val="007D36A2"/>
    <w:rsid w:val="007D46EA"/>
    <w:rsid w:val="007D77EF"/>
    <w:rsid w:val="007D78B8"/>
    <w:rsid w:val="007F030A"/>
    <w:rsid w:val="007F04BA"/>
    <w:rsid w:val="007F0A35"/>
    <w:rsid w:val="007F2323"/>
    <w:rsid w:val="007F3CD2"/>
    <w:rsid w:val="007F5D5E"/>
    <w:rsid w:val="007F6332"/>
    <w:rsid w:val="007F688A"/>
    <w:rsid w:val="007F6EBB"/>
    <w:rsid w:val="00800D66"/>
    <w:rsid w:val="0080180E"/>
    <w:rsid w:val="00801E2A"/>
    <w:rsid w:val="00803E61"/>
    <w:rsid w:val="00803F61"/>
    <w:rsid w:val="008043C9"/>
    <w:rsid w:val="00804523"/>
    <w:rsid w:val="008055F0"/>
    <w:rsid w:val="008106EF"/>
    <w:rsid w:val="00817A29"/>
    <w:rsid w:val="00817B19"/>
    <w:rsid w:val="008203BC"/>
    <w:rsid w:val="00820F2A"/>
    <w:rsid w:val="00823CC0"/>
    <w:rsid w:val="00826A75"/>
    <w:rsid w:val="00826E68"/>
    <w:rsid w:val="0082760A"/>
    <w:rsid w:val="00830095"/>
    <w:rsid w:val="008326B0"/>
    <w:rsid w:val="00834B8F"/>
    <w:rsid w:val="0083657D"/>
    <w:rsid w:val="00836B4F"/>
    <w:rsid w:val="00836C50"/>
    <w:rsid w:val="00842861"/>
    <w:rsid w:val="00844073"/>
    <w:rsid w:val="008454F9"/>
    <w:rsid w:val="00846029"/>
    <w:rsid w:val="00846080"/>
    <w:rsid w:val="00851A4E"/>
    <w:rsid w:val="00851CAC"/>
    <w:rsid w:val="008534CE"/>
    <w:rsid w:val="008561E1"/>
    <w:rsid w:val="0085682B"/>
    <w:rsid w:val="008577D4"/>
    <w:rsid w:val="00860FBC"/>
    <w:rsid w:val="0086124A"/>
    <w:rsid w:val="00861276"/>
    <w:rsid w:val="00861285"/>
    <w:rsid w:val="0086204A"/>
    <w:rsid w:val="00862AE3"/>
    <w:rsid w:val="0086756C"/>
    <w:rsid w:val="00867DFE"/>
    <w:rsid w:val="00870E87"/>
    <w:rsid w:val="0087777A"/>
    <w:rsid w:val="00881E19"/>
    <w:rsid w:val="008822C7"/>
    <w:rsid w:val="008832E3"/>
    <w:rsid w:val="0088590B"/>
    <w:rsid w:val="008868E5"/>
    <w:rsid w:val="00893A16"/>
    <w:rsid w:val="00894B74"/>
    <w:rsid w:val="00896120"/>
    <w:rsid w:val="008A0ECC"/>
    <w:rsid w:val="008A3A5F"/>
    <w:rsid w:val="008A52CE"/>
    <w:rsid w:val="008A5B18"/>
    <w:rsid w:val="008A5B90"/>
    <w:rsid w:val="008B593B"/>
    <w:rsid w:val="008B5CE5"/>
    <w:rsid w:val="008B5DC0"/>
    <w:rsid w:val="008B7A16"/>
    <w:rsid w:val="008B7FB4"/>
    <w:rsid w:val="008C0DC5"/>
    <w:rsid w:val="008C626C"/>
    <w:rsid w:val="008D02B1"/>
    <w:rsid w:val="008D31FD"/>
    <w:rsid w:val="008D3D6C"/>
    <w:rsid w:val="008D51A0"/>
    <w:rsid w:val="008D77E1"/>
    <w:rsid w:val="008E0A41"/>
    <w:rsid w:val="008E301C"/>
    <w:rsid w:val="008E395C"/>
    <w:rsid w:val="008E3B98"/>
    <w:rsid w:val="008F54FF"/>
    <w:rsid w:val="008F5E62"/>
    <w:rsid w:val="008F6E03"/>
    <w:rsid w:val="008F71EE"/>
    <w:rsid w:val="009055BC"/>
    <w:rsid w:val="009064FF"/>
    <w:rsid w:val="0091007C"/>
    <w:rsid w:val="009105BC"/>
    <w:rsid w:val="00911781"/>
    <w:rsid w:val="009122EE"/>
    <w:rsid w:val="00912667"/>
    <w:rsid w:val="00914C83"/>
    <w:rsid w:val="009169A2"/>
    <w:rsid w:val="009173C3"/>
    <w:rsid w:val="00924193"/>
    <w:rsid w:val="009247CC"/>
    <w:rsid w:val="009249CA"/>
    <w:rsid w:val="009251CF"/>
    <w:rsid w:val="0093029E"/>
    <w:rsid w:val="00930717"/>
    <w:rsid w:val="009411EF"/>
    <w:rsid w:val="00944593"/>
    <w:rsid w:val="00945BDC"/>
    <w:rsid w:val="00950487"/>
    <w:rsid w:val="0095129D"/>
    <w:rsid w:val="00952DFF"/>
    <w:rsid w:val="00953BC1"/>
    <w:rsid w:val="00955B14"/>
    <w:rsid w:val="0096349B"/>
    <w:rsid w:val="00970268"/>
    <w:rsid w:val="0097184D"/>
    <w:rsid w:val="00971AD0"/>
    <w:rsid w:val="00972637"/>
    <w:rsid w:val="00972C97"/>
    <w:rsid w:val="00983B7F"/>
    <w:rsid w:val="00984801"/>
    <w:rsid w:val="00986812"/>
    <w:rsid w:val="00991BD5"/>
    <w:rsid w:val="00992B5F"/>
    <w:rsid w:val="009934BF"/>
    <w:rsid w:val="00994369"/>
    <w:rsid w:val="00994E2F"/>
    <w:rsid w:val="00997A0C"/>
    <w:rsid w:val="00997B30"/>
    <w:rsid w:val="009A173E"/>
    <w:rsid w:val="009A1A17"/>
    <w:rsid w:val="009A2092"/>
    <w:rsid w:val="009A21D1"/>
    <w:rsid w:val="009A2224"/>
    <w:rsid w:val="009A2E39"/>
    <w:rsid w:val="009A3471"/>
    <w:rsid w:val="009A448F"/>
    <w:rsid w:val="009A5E63"/>
    <w:rsid w:val="009A7856"/>
    <w:rsid w:val="009A7B7B"/>
    <w:rsid w:val="009B017D"/>
    <w:rsid w:val="009B0666"/>
    <w:rsid w:val="009B39CE"/>
    <w:rsid w:val="009B5B6B"/>
    <w:rsid w:val="009B6093"/>
    <w:rsid w:val="009B7BC7"/>
    <w:rsid w:val="009C30FA"/>
    <w:rsid w:val="009C3AE7"/>
    <w:rsid w:val="009C53B1"/>
    <w:rsid w:val="009C564C"/>
    <w:rsid w:val="009C6458"/>
    <w:rsid w:val="009D0799"/>
    <w:rsid w:val="009D0C79"/>
    <w:rsid w:val="009D4B98"/>
    <w:rsid w:val="009D53DA"/>
    <w:rsid w:val="009D6C99"/>
    <w:rsid w:val="009D711F"/>
    <w:rsid w:val="009E2FE2"/>
    <w:rsid w:val="009E4D1B"/>
    <w:rsid w:val="009F1D1E"/>
    <w:rsid w:val="009F2799"/>
    <w:rsid w:val="009F59DF"/>
    <w:rsid w:val="00A01654"/>
    <w:rsid w:val="00A02B16"/>
    <w:rsid w:val="00A03870"/>
    <w:rsid w:val="00A06F11"/>
    <w:rsid w:val="00A07E99"/>
    <w:rsid w:val="00A20848"/>
    <w:rsid w:val="00A262FC"/>
    <w:rsid w:val="00A32BA4"/>
    <w:rsid w:val="00A33ED5"/>
    <w:rsid w:val="00A35D5F"/>
    <w:rsid w:val="00A36146"/>
    <w:rsid w:val="00A36F11"/>
    <w:rsid w:val="00A40104"/>
    <w:rsid w:val="00A40267"/>
    <w:rsid w:val="00A40B35"/>
    <w:rsid w:val="00A4540D"/>
    <w:rsid w:val="00A45450"/>
    <w:rsid w:val="00A4758A"/>
    <w:rsid w:val="00A5039D"/>
    <w:rsid w:val="00A5094D"/>
    <w:rsid w:val="00A51161"/>
    <w:rsid w:val="00A51753"/>
    <w:rsid w:val="00A53006"/>
    <w:rsid w:val="00A547A5"/>
    <w:rsid w:val="00A63167"/>
    <w:rsid w:val="00A662C1"/>
    <w:rsid w:val="00A66423"/>
    <w:rsid w:val="00A67275"/>
    <w:rsid w:val="00A71CCB"/>
    <w:rsid w:val="00A75632"/>
    <w:rsid w:val="00A75DFD"/>
    <w:rsid w:val="00A771D4"/>
    <w:rsid w:val="00A77250"/>
    <w:rsid w:val="00A77F10"/>
    <w:rsid w:val="00A80C4C"/>
    <w:rsid w:val="00A82E5E"/>
    <w:rsid w:val="00A85527"/>
    <w:rsid w:val="00A856D6"/>
    <w:rsid w:val="00A90237"/>
    <w:rsid w:val="00A9147C"/>
    <w:rsid w:val="00A92F4E"/>
    <w:rsid w:val="00A932AC"/>
    <w:rsid w:val="00A93336"/>
    <w:rsid w:val="00A94E4E"/>
    <w:rsid w:val="00A97EFB"/>
    <w:rsid w:val="00AA1780"/>
    <w:rsid w:val="00AA25E2"/>
    <w:rsid w:val="00AA45BF"/>
    <w:rsid w:val="00AA703B"/>
    <w:rsid w:val="00AB0F8F"/>
    <w:rsid w:val="00AB4BA1"/>
    <w:rsid w:val="00AB70A4"/>
    <w:rsid w:val="00AB762B"/>
    <w:rsid w:val="00AD0EB0"/>
    <w:rsid w:val="00AD154B"/>
    <w:rsid w:val="00AD2443"/>
    <w:rsid w:val="00AD2ACE"/>
    <w:rsid w:val="00AD5E55"/>
    <w:rsid w:val="00AD6D98"/>
    <w:rsid w:val="00AE0265"/>
    <w:rsid w:val="00AE02A5"/>
    <w:rsid w:val="00AE1CA8"/>
    <w:rsid w:val="00AE3796"/>
    <w:rsid w:val="00AE6208"/>
    <w:rsid w:val="00AE6DB4"/>
    <w:rsid w:val="00AF18A4"/>
    <w:rsid w:val="00AF395A"/>
    <w:rsid w:val="00AF41D9"/>
    <w:rsid w:val="00AF76EA"/>
    <w:rsid w:val="00B007A3"/>
    <w:rsid w:val="00B023B8"/>
    <w:rsid w:val="00B036CF"/>
    <w:rsid w:val="00B061AD"/>
    <w:rsid w:val="00B129E2"/>
    <w:rsid w:val="00B13A92"/>
    <w:rsid w:val="00B1771B"/>
    <w:rsid w:val="00B1788F"/>
    <w:rsid w:val="00B21F1F"/>
    <w:rsid w:val="00B24E85"/>
    <w:rsid w:val="00B2586D"/>
    <w:rsid w:val="00B25927"/>
    <w:rsid w:val="00B26611"/>
    <w:rsid w:val="00B27EDE"/>
    <w:rsid w:val="00B31C44"/>
    <w:rsid w:val="00B33B4E"/>
    <w:rsid w:val="00B3446A"/>
    <w:rsid w:val="00B35514"/>
    <w:rsid w:val="00B361A7"/>
    <w:rsid w:val="00B36820"/>
    <w:rsid w:val="00B4377B"/>
    <w:rsid w:val="00B441FF"/>
    <w:rsid w:val="00B449E9"/>
    <w:rsid w:val="00B45141"/>
    <w:rsid w:val="00B46DE0"/>
    <w:rsid w:val="00B50074"/>
    <w:rsid w:val="00B527C1"/>
    <w:rsid w:val="00B5343D"/>
    <w:rsid w:val="00B53612"/>
    <w:rsid w:val="00B53868"/>
    <w:rsid w:val="00B54F6D"/>
    <w:rsid w:val="00B57C8F"/>
    <w:rsid w:val="00B61BDC"/>
    <w:rsid w:val="00B62A64"/>
    <w:rsid w:val="00B6398F"/>
    <w:rsid w:val="00B65FC8"/>
    <w:rsid w:val="00B66218"/>
    <w:rsid w:val="00B66AFD"/>
    <w:rsid w:val="00B705FD"/>
    <w:rsid w:val="00B767A4"/>
    <w:rsid w:val="00B7786C"/>
    <w:rsid w:val="00B8162F"/>
    <w:rsid w:val="00B847EC"/>
    <w:rsid w:val="00B853CC"/>
    <w:rsid w:val="00B86C0C"/>
    <w:rsid w:val="00B93B20"/>
    <w:rsid w:val="00B96EEF"/>
    <w:rsid w:val="00BA0805"/>
    <w:rsid w:val="00BA2C5C"/>
    <w:rsid w:val="00BA2E8F"/>
    <w:rsid w:val="00BA3D29"/>
    <w:rsid w:val="00BA4349"/>
    <w:rsid w:val="00BA6002"/>
    <w:rsid w:val="00BA742D"/>
    <w:rsid w:val="00BB4F3A"/>
    <w:rsid w:val="00BB703B"/>
    <w:rsid w:val="00BC105D"/>
    <w:rsid w:val="00BC15D8"/>
    <w:rsid w:val="00BC2513"/>
    <w:rsid w:val="00BC2DBA"/>
    <w:rsid w:val="00BC2E08"/>
    <w:rsid w:val="00BC2FC4"/>
    <w:rsid w:val="00BC6E1F"/>
    <w:rsid w:val="00BD0AB6"/>
    <w:rsid w:val="00BD0B4C"/>
    <w:rsid w:val="00BD3236"/>
    <w:rsid w:val="00BD3D5C"/>
    <w:rsid w:val="00BD532F"/>
    <w:rsid w:val="00BD5656"/>
    <w:rsid w:val="00BD6A14"/>
    <w:rsid w:val="00BE24DC"/>
    <w:rsid w:val="00BE3287"/>
    <w:rsid w:val="00BE3914"/>
    <w:rsid w:val="00BE48FD"/>
    <w:rsid w:val="00BE58BD"/>
    <w:rsid w:val="00BE7351"/>
    <w:rsid w:val="00BE76BB"/>
    <w:rsid w:val="00BE76D3"/>
    <w:rsid w:val="00BF053D"/>
    <w:rsid w:val="00BF2348"/>
    <w:rsid w:val="00BF2B9C"/>
    <w:rsid w:val="00BF2BF1"/>
    <w:rsid w:val="00BF6431"/>
    <w:rsid w:val="00C00B4F"/>
    <w:rsid w:val="00C016D4"/>
    <w:rsid w:val="00C02069"/>
    <w:rsid w:val="00C0620A"/>
    <w:rsid w:val="00C07FB3"/>
    <w:rsid w:val="00C129EF"/>
    <w:rsid w:val="00C1354C"/>
    <w:rsid w:val="00C1376C"/>
    <w:rsid w:val="00C14D88"/>
    <w:rsid w:val="00C16D81"/>
    <w:rsid w:val="00C17B4B"/>
    <w:rsid w:val="00C17C6E"/>
    <w:rsid w:val="00C17D01"/>
    <w:rsid w:val="00C20F09"/>
    <w:rsid w:val="00C2187F"/>
    <w:rsid w:val="00C265C5"/>
    <w:rsid w:val="00C27CD4"/>
    <w:rsid w:val="00C27F06"/>
    <w:rsid w:val="00C3243A"/>
    <w:rsid w:val="00C32BC5"/>
    <w:rsid w:val="00C32C4E"/>
    <w:rsid w:val="00C345E7"/>
    <w:rsid w:val="00C35A3E"/>
    <w:rsid w:val="00C35A60"/>
    <w:rsid w:val="00C36B36"/>
    <w:rsid w:val="00C36C27"/>
    <w:rsid w:val="00C371B3"/>
    <w:rsid w:val="00C3780B"/>
    <w:rsid w:val="00C40FA0"/>
    <w:rsid w:val="00C422FE"/>
    <w:rsid w:val="00C4287C"/>
    <w:rsid w:val="00C433FE"/>
    <w:rsid w:val="00C44FC4"/>
    <w:rsid w:val="00C46E3D"/>
    <w:rsid w:val="00C504E6"/>
    <w:rsid w:val="00C51347"/>
    <w:rsid w:val="00C519BC"/>
    <w:rsid w:val="00C55CDC"/>
    <w:rsid w:val="00C56231"/>
    <w:rsid w:val="00C6039C"/>
    <w:rsid w:val="00C61700"/>
    <w:rsid w:val="00C61B5A"/>
    <w:rsid w:val="00C61BF9"/>
    <w:rsid w:val="00C626E2"/>
    <w:rsid w:val="00C62DC5"/>
    <w:rsid w:val="00C63A6C"/>
    <w:rsid w:val="00C645B2"/>
    <w:rsid w:val="00C64824"/>
    <w:rsid w:val="00C649A7"/>
    <w:rsid w:val="00C66AEE"/>
    <w:rsid w:val="00C70C26"/>
    <w:rsid w:val="00C73EBD"/>
    <w:rsid w:val="00C75A50"/>
    <w:rsid w:val="00C77F90"/>
    <w:rsid w:val="00C82370"/>
    <w:rsid w:val="00C83FCA"/>
    <w:rsid w:val="00C874D1"/>
    <w:rsid w:val="00C87F83"/>
    <w:rsid w:val="00C92178"/>
    <w:rsid w:val="00C95E5C"/>
    <w:rsid w:val="00CA1A29"/>
    <w:rsid w:val="00CA3645"/>
    <w:rsid w:val="00CA3C55"/>
    <w:rsid w:val="00CA5CE5"/>
    <w:rsid w:val="00CA6A01"/>
    <w:rsid w:val="00CA703F"/>
    <w:rsid w:val="00CB033B"/>
    <w:rsid w:val="00CB06CE"/>
    <w:rsid w:val="00CB10DD"/>
    <w:rsid w:val="00CB1CC6"/>
    <w:rsid w:val="00CB6D73"/>
    <w:rsid w:val="00CC00EA"/>
    <w:rsid w:val="00CC2827"/>
    <w:rsid w:val="00CC572C"/>
    <w:rsid w:val="00CC57C2"/>
    <w:rsid w:val="00CC7A23"/>
    <w:rsid w:val="00CD0EE1"/>
    <w:rsid w:val="00CD1CAD"/>
    <w:rsid w:val="00CD22FB"/>
    <w:rsid w:val="00CD4223"/>
    <w:rsid w:val="00CE037E"/>
    <w:rsid w:val="00CE2C1D"/>
    <w:rsid w:val="00CE33D7"/>
    <w:rsid w:val="00CE397F"/>
    <w:rsid w:val="00CE5A4C"/>
    <w:rsid w:val="00CE78E1"/>
    <w:rsid w:val="00CE7DFC"/>
    <w:rsid w:val="00CF0F38"/>
    <w:rsid w:val="00CF3E5B"/>
    <w:rsid w:val="00CF45C1"/>
    <w:rsid w:val="00CF47AC"/>
    <w:rsid w:val="00D00785"/>
    <w:rsid w:val="00D034BC"/>
    <w:rsid w:val="00D03C79"/>
    <w:rsid w:val="00D0746C"/>
    <w:rsid w:val="00D11E59"/>
    <w:rsid w:val="00D12C60"/>
    <w:rsid w:val="00D146C9"/>
    <w:rsid w:val="00D1587B"/>
    <w:rsid w:val="00D15DD9"/>
    <w:rsid w:val="00D16CD0"/>
    <w:rsid w:val="00D231A2"/>
    <w:rsid w:val="00D2768E"/>
    <w:rsid w:val="00D278E1"/>
    <w:rsid w:val="00D27A7F"/>
    <w:rsid w:val="00D307FC"/>
    <w:rsid w:val="00D32BBB"/>
    <w:rsid w:val="00D3517E"/>
    <w:rsid w:val="00D353D9"/>
    <w:rsid w:val="00D40D51"/>
    <w:rsid w:val="00D42E61"/>
    <w:rsid w:val="00D43507"/>
    <w:rsid w:val="00D44BEF"/>
    <w:rsid w:val="00D457B1"/>
    <w:rsid w:val="00D45BDE"/>
    <w:rsid w:val="00D4608D"/>
    <w:rsid w:val="00D478F3"/>
    <w:rsid w:val="00D51375"/>
    <w:rsid w:val="00D566E8"/>
    <w:rsid w:val="00D56DA5"/>
    <w:rsid w:val="00D57185"/>
    <w:rsid w:val="00D62939"/>
    <w:rsid w:val="00D657B6"/>
    <w:rsid w:val="00D662DB"/>
    <w:rsid w:val="00D66A9E"/>
    <w:rsid w:val="00D70204"/>
    <w:rsid w:val="00D73482"/>
    <w:rsid w:val="00D74068"/>
    <w:rsid w:val="00D7579B"/>
    <w:rsid w:val="00D77731"/>
    <w:rsid w:val="00D80805"/>
    <w:rsid w:val="00D82882"/>
    <w:rsid w:val="00D82F5E"/>
    <w:rsid w:val="00D83AAC"/>
    <w:rsid w:val="00D86BDE"/>
    <w:rsid w:val="00D86BE6"/>
    <w:rsid w:val="00D86E36"/>
    <w:rsid w:val="00D87A9B"/>
    <w:rsid w:val="00D94D1F"/>
    <w:rsid w:val="00D95BB9"/>
    <w:rsid w:val="00D9762E"/>
    <w:rsid w:val="00DA1AB7"/>
    <w:rsid w:val="00DA27E2"/>
    <w:rsid w:val="00DA3FAE"/>
    <w:rsid w:val="00DA5D16"/>
    <w:rsid w:val="00DB302D"/>
    <w:rsid w:val="00DB55A9"/>
    <w:rsid w:val="00DB6B59"/>
    <w:rsid w:val="00DB6E96"/>
    <w:rsid w:val="00DC10C1"/>
    <w:rsid w:val="00DC50F7"/>
    <w:rsid w:val="00DD1485"/>
    <w:rsid w:val="00DD3DF1"/>
    <w:rsid w:val="00DD6C2E"/>
    <w:rsid w:val="00DD7A96"/>
    <w:rsid w:val="00DD7D86"/>
    <w:rsid w:val="00DE19C9"/>
    <w:rsid w:val="00DE2065"/>
    <w:rsid w:val="00DE25CE"/>
    <w:rsid w:val="00DE2A3E"/>
    <w:rsid w:val="00DE2FD2"/>
    <w:rsid w:val="00DE33C6"/>
    <w:rsid w:val="00DE6085"/>
    <w:rsid w:val="00DF1D99"/>
    <w:rsid w:val="00DF3F3D"/>
    <w:rsid w:val="00DF5AED"/>
    <w:rsid w:val="00E012F4"/>
    <w:rsid w:val="00E0348E"/>
    <w:rsid w:val="00E03B4C"/>
    <w:rsid w:val="00E03CDA"/>
    <w:rsid w:val="00E05809"/>
    <w:rsid w:val="00E05BE2"/>
    <w:rsid w:val="00E0604A"/>
    <w:rsid w:val="00E0668C"/>
    <w:rsid w:val="00E070C0"/>
    <w:rsid w:val="00E07C7C"/>
    <w:rsid w:val="00E1251B"/>
    <w:rsid w:val="00E1306C"/>
    <w:rsid w:val="00E1405F"/>
    <w:rsid w:val="00E206A7"/>
    <w:rsid w:val="00E21AE8"/>
    <w:rsid w:val="00E22503"/>
    <w:rsid w:val="00E22E93"/>
    <w:rsid w:val="00E23FE6"/>
    <w:rsid w:val="00E25BA4"/>
    <w:rsid w:val="00E26CF0"/>
    <w:rsid w:val="00E32B67"/>
    <w:rsid w:val="00E37D20"/>
    <w:rsid w:val="00E42544"/>
    <w:rsid w:val="00E45EFF"/>
    <w:rsid w:val="00E46470"/>
    <w:rsid w:val="00E51516"/>
    <w:rsid w:val="00E523AB"/>
    <w:rsid w:val="00E54E1A"/>
    <w:rsid w:val="00E56056"/>
    <w:rsid w:val="00E56CC8"/>
    <w:rsid w:val="00E60A84"/>
    <w:rsid w:val="00E6209F"/>
    <w:rsid w:val="00E6227E"/>
    <w:rsid w:val="00E63FCF"/>
    <w:rsid w:val="00E6413F"/>
    <w:rsid w:val="00E6481C"/>
    <w:rsid w:val="00E65195"/>
    <w:rsid w:val="00E65978"/>
    <w:rsid w:val="00E6654B"/>
    <w:rsid w:val="00E666B7"/>
    <w:rsid w:val="00E67573"/>
    <w:rsid w:val="00E70B1A"/>
    <w:rsid w:val="00E7105E"/>
    <w:rsid w:val="00E72FCD"/>
    <w:rsid w:val="00E812D9"/>
    <w:rsid w:val="00E8166D"/>
    <w:rsid w:val="00E81A9C"/>
    <w:rsid w:val="00E82209"/>
    <w:rsid w:val="00E86B8C"/>
    <w:rsid w:val="00E8731E"/>
    <w:rsid w:val="00E900A6"/>
    <w:rsid w:val="00E9039F"/>
    <w:rsid w:val="00E918CA"/>
    <w:rsid w:val="00E925FC"/>
    <w:rsid w:val="00E92CFD"/>
    <w:rsid w:val="00E92D07"/>
    <w:rsid w:val="00E930E7"/>
    <w:rsid w:val="00E93C47"/>
    <w:rsid w:val="00E94C34"/>
    <w:rsid w:val="00E94CEF"/>
    <w:rsid w:val="00E95D50"/>
    <w:rsid w:val="00E96D4F"/>
    <w:rsid w:val="00E97D0B"/>
    <w:rsid w:val="00EA0331"/>
    <w:rsid w:val="00EA143A"/>
    <w:rsid w:val="00EA2124"/>
    <w:rsid w:val="00EA2775"/>
    <w:rsid w:val="00EA35A8"/>
    <w:rsid w:val="00EA411D"/>
    <w:rsid w:val="00EA51F9"/>
    <w:rsid w:val="00EA7200"/>
    <w:rsid w:val="00EC0329"/>
    <w:rsid w:val="00EC0DC4"/>
    <w:rsid w:val="00EC0F04"/>
    <w:rsid w:val="00EC1719"/>
    <w:rsid w:val="00EC2709"/>
    <w:rsid w:val="00EC37FC"/>
    <w:rsid w:val="00EC55E0"/>
    <w:rsid w:val="00EC7D05"/>
    <w:rsid w:val="00ED1C52"/>
    <w:rsid w:val="00ED2D14"/>
    <w:rsid w:val="00ED437F"/>
    <w:rsid w:val="00ED48A6"/>
    <w:rsid w:val="00ED65AC"/>
    <w:rsid w:val="00ED7F27"/>
    <w:rsid w:val="00EE009A"/>
    <w:rsid w:val="00EE1027"/>
    <w:rsid w:val="00EE3AB1"/>
    <w:rsid w:val="00EE5E33"/>
    <w:rsid w:val="00EE641D"/>
    <w:rsid w:val="00EF0D97"/>
    <w:rsid w:val="00EF34F0"/>
    <w:rsid w:val="00F002FC"/>
    <w:rsid w:val="00F02DFD"/>
    <w:rsid w:val="00F02EF2"/>
    <w:rsid w:val="00F03912"/>
    <w:rsid w:val="00F03DE9"/>
    <w:rsid w:val="00F051ED"/>
    <w:rsid w:val="00F05391"/>
    <w:rsid w:val="00F066CB"/>
    <w:rsid w:val="00F06CF9"/>
    <w:rsid w:val="00F0710B"/>
    <w:rsid w:val="00F07D54"/>
    <w:rsid w:val="00F102AB"/>
    <w:rsid w:val="00F111AC"/>
    <w:rsid w:val="00F13159"/>
    <w:rsid w:val="00F13A5F"/>
    <w:rsid w:val="00F22E61"/>
    <w:rsid w:val="00F25020"/>
    <w:rsid w:val="00F262AB"/>
    <w:rsid w:val="00F2673F"/>
    <w:rsid w:val="00F268A4"/>
    <w:rsid w:val="00F27ABC"/>
    <w:rsid w:val="00F31196"/>
    <w:rsid w:val="00F33398"/>
    <w:rsid w:val="00F35B5B"/>
    <w:rsid w:val="00F36D4D"/>
    <w:rsid w:val="00F422CF"/>
    <w:rsid w:val="00F43F10"/>
    <w:rsid w:val="00F46079"/>
    <w:rsid w:val="00F46A1D"/>
    <w:rsid w:val="00F46F54"/>
    <w:rsid w:val="00F47B3A"/>
    <w:rsid w:val="00F511EF"/>
    <w:rsid w:val="00F512A2"/>
    <w:rsid w:val="00F51FA1"/>
    <w:rsid w:val="00F52615"/>
    <w:rsid w:val="00F53DA3"/>
    <w:rsid w:val="00F61023"/>
    <w:rsid w:val="00F623CD"/>
    <w:rsid w:val="00F64612"/>
    <w:rsid w:val="00F66872"/>
    <w:rsid w:val="00F676BC"/>
    <w:rsid w:val="00F67982"/>
    <w:rsid w:val="00F70510"/>
    <w:rsid w:val="00F705D0"/>
    <w:rsid w:val="00F706CE"/>
    <w:rsid w:val="00F72BC8"/>
    <w:rsid w:val="00F732A0"/>
    <w:rsid w:val="00F7770C"/>
    <w:rsid w:val="00F8043E"/>
    <w:rsid w:val="00F811C9"/>
    <w:rsid w:val="00F81C92"/>
    <w:rsid w:val="00F827C4"/>
    <w:rsid w:val="00F87FC7"/>
    <w:rsid w:val="00F91F1D"/>
    <w:rsid w:val="00F937CC"/>
    <w:rsid w:val="00F9413B"/>
    <w:rsid w:val="00F9512B"/>
    <w:rsid w:val="00F95735"/>
    <w:rsid w:val="00F97228"/>
    <w:rsid w:val="00F9738A"/>
    <w:rsid w:val="00FB0CA2"/>
    <w:rsid w:val="00FB12AB"/>
    <w:rsid w:val="00FB2482"/>
    <w:rsid w:val="00FB3B4E"/>
    <w:rsid w:val="00FB583A"/>
    <w:rsid w:val="00FB7634"/>
    <w:rsid w:val="00FC0A79"/>
    <w:rsid w:val="00FC3387"/>
    <w:rsid w:val="00FC42D9"/>
    <w:rsid w:val="00FC43F5"/>
    <w:rsid w:val="00FC5D42"/>
    <w:rsid w:val="00FC7BAE"/>
    <w:rsid w:val="00FC7C5E"/>
    <w:rsid w:val="00FD04E8"/>
    <w:rsid w:val="00FD1857"/>
    <w:rsid w:val="00FD3BDF"/>
    <w:rsid w:val="00FE063D"/>
    <w:rsid w:val="00FE1629"/>
    <w:rsid w:val="00FE26D4"/>
    <w:rsid w:val="00FE542D"/>
    <w:rsid w:val="00FE6CFD"/>
    <w:rsid w:val="00FF0123"/>
    <w:rsid w:val="00FF2B52"/>
    <w:rsid w:val="00FF562D"/>
    <w:rsid w:val="00FF777E"/>
    <w:rsid w:val="00FF7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1793"/>
    <o:shapelayout v:ext="edit">
      <o:idmap v:ext="edit" data="1"/>
    </o:shapelayout>
  </w:shapeDefaults>
  <w:decimalSymbol w:val="."/>
  <w:listSeparator w:val=","/>
  <w14:docId w14:val="32721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D37"/>
    <w:rPr>
      <w:sz w:val="24"/>
      <w:szCs w:val="24"/>
    </w:rPr>
  </w:style>
  <w:style w:type="paragraph" w:styleId="Heading1">
    <w:name w:val="heading 1"/>
    <w:basedOn w:val="Normal"/>
    <w:next w:val="Normal"/>
    <w:link w:val="Heading1Char"/>
    <w:uiPriority w:val="9"/>
    <w:qFormat/>
    <w:rsid w:val="00597A53"/>
    <w:pPr>
      <w:keepNext/>
      <w:spacing w:before="240" w:after="60"/>
      <w:outlineLvl w:val="0"/>
    </w:pPr>
    <w:rPr>
      <w:rFonts w:ascii="Cambria" w:hAnsi="Cambria"/>
      <w:b/>
      <w:bCs/>
      <w:kern w:val="32"/>
      <w:sz w:val="32"/>
      <w:szCs w:val="32"/>
      <w:lang w:bidi="en-US"/>
    </w:rPr>
  </w:style>
  <w:style w:type="paragraph" w:styleId="Heading2">
    <w:name w:val="heading 2"/>
    <w:basedOn w:val="Normal"/>
    <w:next w:val="Normal"/>
    <w:link w:val="Heading2Char"/>
    <w:uiPriority w:val="9"/>
    <w:semiHidden/>
    <w:unhideWhenUsed/>
    <w:qFormat/>
    <w:rsid w:val="0084608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uiPriority w:val="99"/>
    <w:rsid w:val="002C4D37"/>
    <w:pPr>
      <w:widowControl w:val="0"/>
      <w:autoSpaceDE w:val="0"/>
      <w:autoSpaceDN w:val="0"/>
      <w:adjustRightInd w:val="0"/>
    </w:pPr>
    <w:rPr>
      <w:sz w:val="24"/>
      <w:szCs w:val="24"/>
    </w:rPr>
  </w:style>
  <w:style w:type="table" w:styleId="TableGrid">
    <w:name w:val="Table Grid"/>
    <w:basedOn w:val="TableNormal"/>
    <w:uiPriority w:val="59"/>
    <w:rsid w:val="00836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F6E34"/>
    <w:pPr>
      <w:tabs>
        <w:tab w:val="center" w:pos="4320"/>
        <w:tab w:val="right" w:pos="8640"/>
      </w:tabs>
    </w:pPr>
  </w:style>
  <w:style w:type="character" w:customStyle="1" w:styleId="HeaderChar">
    <w:name w:val="Header Char"/>
    <w:basedOn w:val="DefaultParagraphFont"/>
    <w:link w:val="Header"/>
    <w:uiPriority w:val="99"/>
    <w:semiHidden/>
    <w:rsid w:val="002C4D37"/>
    <w:rPr>
      <w:sz w:val="24"/>
      <w:szCs w:val="24"/>
    </w:rPr>
  </w:style>
  <w:style w:type="paragraph" w:styleId="Footer">
    <w:name w:val="footer"/>
    <w:basedOn w:val="Normal"/>
    <w:link w:val="FooterChar"/>
    <w:uiPriority w:val="99"/>
    <w:rsid w:val="001F6E34"/>
    <w:pPr>
      <w:tabs>
        <w:tab w:val="center" w:pos="4320"/>
        <w:tab w:val="right" w:pos="8640"/>
      </w:tabs>
    </w:pPr>
  </w:style>
  <w:style w:type="character" w:customStyle="1" w:styleId="FooterChar">
    <w:name w:val="Footer Char"/>
    <w:basedOn w:val="DefaultParagraphFont"/>
    <w:link w:val="Footer"/>
    <w:uiPriority w:val="99"/>
    <w:rsid w:val="002C4D37"/>
    <w:rPr>
      <w:sz w:val="24"/>
      <w:szCs w:val="24"/>
    </w:rPr>
  </w:style>
  <w:style w:type="paragraph" w:customStyle="1" w:styleId="msonospacing0">
    <w:name w:val="msonospacing"/>
    <w:rsid w:val="0047786A"/>
    <w:rPr>
      <w:rFonts w:ascii="Calibri" w:eastAsia="Calibri" w:hAnsi="Calibri"/>
      <w:sz w:val="22"/>
      <w:szCs w:val="22"/>
    </w:rPr>
  </w:style>
  <w:style w:type="character" w:customStyle="1" w:styleId="QuickFormat1">
    <w:name w:val="QuickFormat1"/>
    <w:rsid w:val="000231D6"/>
    <w:rPr>
      <w:rFonts w:ascii="Times New Roman" w:hAnsi="Times New Roman" w:cs="Times New Roman"/>
      <w:b/>
      <w:bCs/>
      <w:color w:val="000000"/>
      <w:sz w:val="36"/>
      <w:szCs w:val="36"/>
    </w:rPr>
  </w:style>
  <w:style w:type="character" w:customStyle="1" w:styleId="Heading1Char">
    <w:name w:val="Heading 1 Char"/>
    <w:basedOn w:val="DefaultParagraphFont"/>
    <w:link w:val="Heading1"/>
    <w:uiPriority w:val="9"/>
    <w:rsid w:val="00597A53"/>
    <w:rPr>
      <w:rFonts w:ascii="Cambria" w:eastAsia="Times New Roman" w:hAnsi="Cambria"/>
      <w:b/>
      <w:bCs/>
      <w:kern w:val="32"/>
      <w:sz w:val="32"/>
      <w:szCs w:val="32"/>
      <w:lang w:bidi="en-US"/>
    </w:rPr>
  </w:style>
  <w:style w:type="paragraph" w:customStyle="1" w:styleId="Default">
    <w:name w:val="Default"/>
    <w:rsid w:val="00067976"/>
    <w:pPr>
      <w:autoSpaceDE w:val="0"/>
      <w:autoSpaceDN w:val="0"/>
      <w:adjustRightInd w:val="0"/>
    </w:pPr>
    <w:rPr>
      <w:rFonts w:ascii="Palatino Linotype" w:eastAsia="Calibri" w:hAnsi="Palatino Linotype" w:cs="Palatino Linotype"/>
      <w:color w:val="000000"/>
      <w:sz w:val="24"/>
      <w:szCs w:val="24"/>
    </w:rPr>
  </w:style>
  <w:style w:type="paragraph" w:styleId="NormalWeb">
    <w:name w:val="Normal (Web)"/>
    <w:basedOn w:val="Normal"/>
    <w:uiPriority w:val="99"/>
    <w:rsid w:val="00FC3387"/>
    <w:pPr>
      <w:spacing w:before="100" w:beforeAutospacing="1" w:after="100" w:afterAutospacing="1"/>
    </w:pPr>
  </w:style>
  <w:style w:type="paragraph" w:styleId="BodyTextIndent">
    <w:name w:val="Body Text Indent"/>
    <w:basedOn w:val="Normal"/>
    <w:link w:val="BodyTextIndentChar"/>
    <w:rsid w:val="00531F6A"/>
    <w:pPr>
      <w:ind w:firstLine="720"/>
    </w:pPr>
  </w:style>
  <w:style w:type="character" w:customStyle="1" w:styleId="BodyTextIndentChar">
    <w:name w:val="Body Text Indent Char"/>
    <w:basedOn w:val="DefaultParagraphFont"/>
    <w:link w:val="BodyTextIndent"/>
    <w:rsid w:val="00531F6A"/>
    <w:rPr>
      <w:sz w:val="24"/>
      <w:szCs w:val="24"/>
    </w:rPr>
  </w:style>
  <w:style w:type="paragraph" w:styleId="ListParagraph">
    <w:name w:val="List Paragraph"/>
    <w:basedOn w:val="Normal"/>
    <w:uiPriority w:val="34"/>
    <w:qFormat/>
    <w:rsid w:val="007D46EA"/>
    <w:pPr>
      <w:ind w:left="720"/>
    </w:pPr>
  </w:style>
  <w:style w:type="paragraph" w:customStyle="1" w:styleId="Cell">
    <w:name w:val="Cell"/>
    <w:basedOn w:val="Normal"/>
    <w:uiPriority w:val="99"/>
    <w:rsid w:val="005E060F"/>
    <w:pPr>
      <w:widowControl w:val="0"/>
      <w:autoSpaceDE w:val="0"/>
      <w:autoSpaceDN w:val="0"/>
      <w:adjustRightInd w:val="0"/>
    </w:pPr>
    <w:rPr>
      <w:rFonts w:ascii="Helvetica" w:hAnsi="Helvetica" w:cs="Helvetica"/>
      <w:color w:val="000000"/>
      <w:sz w:val="20"/>
      <w:szCs w:val="20"/>
    </w:rPr>
  </w:style>
  <w:style w:type="character" w:customStyle="1" w:styleId="apple-style-span">
    <w:name w:val="apple-style-span"/>
    <w:basedOn w:val="DefaultParagraphFont"/>
    <w:rsid w:val="007B5280"/>
  </w:style>
  <w:style w:type="character" w:styleId="CommentReference">
    <w:name w:val="annotation reference"/>
    <w:basedOn w:val="DefaultParagraphFont"/>
    <w:uiPriority w:val="99"/>
    <w:semiHidden/>
    <w:unhideWhenUsed/>
    <w:rsid w:val="009D0799"/>
    <w:rPr>
      <w:sz w:val="16"/>
      <w:szCs w:val="16"/>
    </w:rPr>
  </w:style>
  <w:style w:type="paragraph" w:styleId="CommentText">
    <w:name w:val="annotation text"/>
    <w:basedOn w:val="Normal"/>
    <w:link w:val="CommentTextChar"/>
    <w:uiPriority w:val="99"/>
    <w:unhideWhenUsed/>
    <w:rsid w:val="009D0799"/>
    <w:rPr>
      <w:sz w:val="20"/>
      <w:szCs w:val="20"/>
    </w:rPr>
  </w:style>
  <w:style w:type="character" w:customStyle="1" w:styleId="CommentTextChar">
    <w:name w:val="Comment Text Char"/>
    <w:basedOn w:val="DefaultParagraphFont"/>
    <w:link w:val="CommentText"/>
    <w:uiPriority w:val="99"/>
    <w:rsid w:val="009D0799"/>
  </w:style>
  <w:style w:type="paragraph" w:styleId="CommentSubject">
    <w:name w:val="annotation subject"/>
    <w:basedOn w:val="CommentText"/>
    <w:next w:val="CommentText"/>
    <w:link w:val="CommentSubjectChar"/>
    <w:uiPriority w:val="99"/>
    <w:semiHidden/>
    <w:unhideWhenUsed/>
    <w:rsid w:val="009D0799"/>
    <w:rPr>
      <w:b/>
      <w:bCs/>
    </w:rPr>
  </w:style>
  <w:style w:type="character" w:customStyle="1" w:styleId="CommentSubjectChar">
    <w:name w:val="Comment Subject Char"/>
    <w:basedOn w:val="CommentTextChar"/>
    <w:link w:val="CommentSubject"/>
    <w:uiPriority w:val="99"/>
    <w:semiHidden/>
    <w:rsid w:val="009D0799"/>
    <w:rPr>
      <w:b/>
      <w:bCs/>
    </w:rPr>
  </w:style>
  <w:style w:type="paragraph" w:styleId="BalloonText">
    <w:name w:val="Balloon Text"/>
    <w:basedOn w:val="Normal"/>
    <w:link w:val="BalloonTextChar"/>
    <w:uiPriority w:val="99"/>
    <w:semiHidden/>
    <w:unhideWhenUsed/>
    <w:rsid w:val="009D0799"/>
    <w:rPr>
      <w:rFonts w:ascii="Tahoma" w:hAnsi="Tahoma" w:cs="Tahoma"/>
      <w:sz w:val="16"/>
      <w:szCs w:val="16"/>
    </w:rPr>
  </w:style>
  <w:style w:type="character" w:customStyle="1" w:styleId="BalloonTextChar">
    <w:name w:val="Balloon Text Char"/>
    <w:basedOn w:val="DefaultParagraphFont"/>
    <w:link w:val="BalloonText"/>
    <w:uiPriority w:val="99"/>
    <w:semiHidden/>
    <w:rsid w:val="009D0799"/>
    <w:rPr>
      <w:rFonts w:ascii="Tahoma" w:hAnsi="Tahoma" w:cs="Tahoma"/>
      <w:sz w:val="16"/>
      <w:szCs w:val="16"/>
    </w:rPr>
  </w:style>
  <w:style w:type="paragraph" w:styleId="Revision">
    <w:name w:val="Revision"/>
    <w:hidden/>
    <w:uiPriority w:val="99"/>
    <w:semiHidden/>
    <w:rsid w:val="00487C74"/>
    <w:rPr>
      <w:sz w:val="24"/>
      <w:szCs w:val="24"/>
    </w:rPr>
  </w:style>
  <w:style w:type="paragraph" w:styleId="NoSpacing">
    <w:name w:val="No Spacing"/>
    <w:uiPriority w:val="1"/>
    <w:qFormat/>
    <w:rsid w:val="00B62A64"/>
    <w:rPr>
      <w:rFonts w:ascii="Calibri" w:eastAsia="Calibri" w:hAnsi="Calibri"/>
      <w:sz w:val="22"/>
      <w:szCs w:val="22"/>
    </w:rPr>
  </w:style>
  <w:style w:type="paragraph" w:styleId="Quote">
    <w:name w:val="Quote"/>
    <w:basedOn w:val="Normal"/>
    <w:next w:val="Normal"/>
    <w:link w:val="QuoteChar"/>
    <w:uiPriority w:val="29"/>
    <w:qFormat/>
    <w:rsid w:val="00F51FA1"/>
    <w:rPr>
      <w:rFonts w:asciiTheme="minorHAnsi" w:eastAsiaTheme="minorHAnsi" w:hAnsiTheme="minorHAnsi"/>
      <w:i/>
      <w:lang w:bidi="en-US"/>
    </w:rPr>
  </w:style>
  <w:style w:type="character" w:customStyle="1" w:styleId="QuoteChar">
    <w:name w:val="Quote Char"/>
    <w:basedOn w:val="DefaultParagraphFont"/>
    <w:link w:val="Quote"/>
    <w:uiPriority w:val="29"/>
    <w:rsid w:val="00F51FA1"/>
    <w:rPr>
      <w:rFonts w:asciiTheme="minorHAnsi" w:eastAsiaTheme="minorHAnsi" w:hAnsiTheme="minorHAnsi"/>
      <w:i/>
      <w:sz w:val="24"/>
      <w:szCs w:val="24"/>
      <w:lang w:bidi="en-US"/>
    </w:rPr>
  </w:style>
  <w:style w:type="character" w:customStyle="1" w:styleId="Heading2Char">
    <w:name w:val="Heading 2 Char"/>
    <w:basedOn w:val="DefaultParagraphFont"/>
    <w:link w:val="Heading2"/>
    <w:uiPriority w:val="9"/>
    <w:semiHidden/>
    <w:rsid w:val="00846080"/>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997A0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D37"/>
    <w:rPr>
      <w:sz w:val="24"/>
      <w:szCs w:val="24"/>
    </w:rPr>
  </w:style>
  <w:style w:type="paragraph" w:styleId="Heading1">
    <w:name w:val="heading 1"/>
    <w:basedOn w:val="Normal"/>
    <w:next w:val="Normal"/>
    <w:link w:val="Heading1Char"/>
    <w:uiPriority w:val="9"/>
    <w:qFormat/>
    <w:rsid w:val="00597A53"/>
    <w:pPr>
      <w:keepNext/>
      <w:spacing w:before="240" w:after="60"/>
      <w:outlineLvl w:val="0"/>
    </w:pPr>
    <w:rPr>
      <w:rFonts w:ascii="Cambria" w:hAnsi="Cambria"/>
      <w:b/>
      <w:bCs/>
      <w:kern w:val="32"/>
      <w:sz w:val="32"/>
      <w:szCs w:val="32"/>
      <w:lang w:bidi="en-US"/>
    </w:rPr>
  </w:style>
  <w:style w:type="paragraph" w:styleId="Heading2">
    <w:name w:val="heading 2"/>
    <w:basedOn w:val="Normal"/>
    <w:next w:val="Normal"/>
    <w:link w:val="Heading2Char"/>
    <w:uiPriority w:val="9"/>
    <w:semiHidden/>
    <w:unhideWhenUsed/>
    <w:qFormat/>
    <w:rsid w:val="0084608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uiPriority w:val="99"/>
    <w:rsid w:val="002C4D37"/>
    <w:pPr>
      <w:widowControl w:val="0"/>
      <w:autoSpaceDE w:val="0"/>
      <w:autoSpaceDN w:val="0"/>
      <w:adjustRightInd w:val="0"/>
    </w:pPr>
    <w:rPr>
      <w:sz w:val="24"/>
      <w:szCs w:val="24"/>
    </w:rPr>
  </w:style>
  <w:style w:type="table" w:styleId="TableGrid">
    <w:name w:val="Table Grid"/>
    <w:basedOn w:val="TableNormal"/>
    <w:uiPriority w:val="59"/>
    <w:rsid w:val="00836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F6E34"/>
    <w:pPr>
      <w:tabs>
        <w:tab w:val="center" w:pos="4320"/>
        <w:tab w:val="right" w:pos="8640"/>
      </w:tabs>
    </w:pPr>
  </w:style>
  <w:style w:type="character" w:customStyle="1" w:styleId="HeaderChar">
    <w:name w:val="Header Char"/>
    <w:basedOn w:val="DefaultParagraphFont"/>
    <w:link w:val="Header"/>
    <w:uiPriority w:val="99"/>
    <w:semiHidden/>
    <w:rsid w:val="002C4D37"/>
    <w:rPr>
      <w:sz w:val="24"/>
      <w:szCs w:val="24"/>
    </w:rPr>
  </w:style>
  <w:style w:type="paragraph" w:styleId="Footer">
    <w:name w:val="footer"/>
    <w:basedOn w:val="Normal"/>
    <w:link w:val="FooterChar"/>
    <w:uiPriority w:val="99"/>
    <w:rsid w:val="001F6E34"/>
    <w:pPr>
      <w:tabs>
        <w:tab w:val="center" w:pos="4320"/>
        <w:tab w:val="right" w:pos="8640"/>
      </w:tabs>
    </w:pPr>
  </w:style>
  <w:style w:type="character" w:customStyle="1" w:styleId="FooterChar">
    <w:name w:val="Footer Char"/>
    <w:basedOn w:val="DefaultParagraphFont"/>
    <w:link w:val="Footer"/>
    <w:uiPriority w:val="99"/>
    <w:rsid w:val="002C4D37"/>
    <w:rPr>
      <w:sz w:val="24"/>
      <w:szCs w:val="24"/>
    </w:rPr>
  </w:style>
  <w:style w:type="paragraph" w:customStyle="1" w:styleId="msonospacing0">
    <w:name w:val="msonospacing"/>
    <w:rsid w:val="0047786A"/>
    <w:rPr>
      <w:rFonts w:ascii="Calibri" w:eastAsia="Calibri" w:hAnsi="Calibri"/>
      <w:sz w:val="22"/>
      <w:szCs w:val="22"/>
    </w:rPr>
  </w:style>
  <w:style w:type="character" w:customStyle="1" w:styleId="QuickFormat1">
    <w:name w:val="QuickFormat1"/>
    <w:rsid w:val="000231D6"/>
    <w:rPr>
      <w:rFonts w:ascii="Times New Roman" w:hAnsi="Times New Roman" w:cs="Times New Roman"/>
      <w:b/>
      <w:bCs/>
      <w:color w:val="000000"/>
      <w:sz w:val="36"/>
      <w:szCs w:val="36"/>
    </w:rPr>
  </w:style>
  <w:style w:type="character" w:customStyle="1" w:styleId="Heading1Char">
    <w:name w:val="Heading 1 Char"/>
    <w:basedOn w:val="DefaultParagraphFont"/>
    <w:link w:val="Heading1"/>
    <w:uiPriority w:val="9"/>
    <w:rsid w:val="00597A53"/>
    <w:rPr>
      <w:rFonts w:ascii="Cambria" w:eastAsia="Times New Roman" w:hAnsi="Cambria"/>
      <w:b/>
      <w:bCs/>
      <w:kern w:val="32"/>
      <w:sz w:val="32"/>
      <w:szCs w:val="32"/>
      <w:lang w:bidi="en-US"/>
    </w:rPr>
  </w:style>
  <w:style w:type="paragraph" w:customStyle="1" w:styleId="Default">
    <w:name w:val="Default"/>
    <w:rsid w:val="00067976"/>
    <w:pPr>
      <w:autoSpaceDE w:val="0"/>
      <w:autoSpaceDN w:val="0"/>
      <w:adjustRightInd w:val="0"/>
    </w:pPr>
    <w:rPr>
      <w:rFonts w:ascii="Palatino Linotype" w:eastAsia="Calibri" w:hAnsi="Palatino Linotype" w:cs="Palatino Linotype"/>
      <w:color w:val="000000"/>
      <w:sz w:val="24"/>
      <w:szCs w:val="24"/>
    </w:rPr>
  </w:style>
  <w:style w:type="paragraph" w:styleId="NormalWeb">
    <w:name w:val="Normal (Web)"/>
    <w:basedOn w:val="Normal"/>
    <w:uiPriority w:val="99"/>
    <w:rsid w:val="00FC3387"/>
    <w:pPr>
      <w:spacing w:before="100" w:beforeAutospacing="1" w:after="100" w:afterAutospacing="1"/>
    </w:pPr>
  </w:style>
  <w:style w:type="paragraph" w:styleId="BodyTextIndent">
    <w:name w:val="Body Text Indent"/>
    <w:basedOn w:val="Normal"/>
    <w:link w:val="BodyTextIndentChar"/>
    <w:rsid w:val="00531F6A"/>
    <w:pPr>
      <w:ind w:firstLine="720"/>
    </w:pPr>
  </w:style>
  <w:style w:type="character" w:customStyle="1" w:styleId="BodyTextIndentChar">
    <w:name w:val="Body Text Indent Char"/>
    <w:basedOn w:val="DefaultParagraphFont"/>
    <w:link w:val="BodyTextIndent"/>
    <w:rsid w:val="00531F6A"/>
    <w:rPr>
      <w:sz w:val="24"/>
      <w:szCs w:val="24"/>
    </w:rPr>
  </w:style>
  <w:style w:type="paragraph" w:styleId="ListParagraph">
    <w:name w:val="List Paragraph"/>
    <w:basedOn w:val="Normal"/>
    <w:uiPriority w:val="34"/>
    <w:qFormat/>
    <w:rsid w:val="007D46EA"/>
    <w:pPr>
      <w:ind w:left="720"/>
    </w:pPr>
  </w:style>
  <w:style w:type="paragraph" w:customStyle="1" w:styleId="Cell">
    <w:name w:val="Cell"/>
    <w:basedOn w:val="Normal"/>
    <w:uiPriority w:val="99"/>
    <w:rsid w:val="005E060F"/>
    <w:pPr>
      <w:widowControl w:val="0"/>
      <w:autoSpaceDE w:val="0"/>
      <w:autoSpaceDN w:val="0"/>
      <w:adjustRightInd w:val="0"/>
    </w:pPr>
    <w:rPr>
      <w:rFonts w:ascii="Helvetica" w:hAnsi="Helvetica" w:cs="Helvetica"/>
      <w:color w:val="000000"/>
      <w:sz w:val="20"/>
      <w:szCs w:val="20"/>
    </w:rPr>
  </w:style>
  <w:style w:type="character" w:customStyle="1" w:styleId="apple-style-span">
    <w:name w:val="apple-style-span"/>
    <w:basedOn w:val="DefaultParagraphFont"/>
    <w:rsid w:val="007B5280"/>
  </w:style>
  <w:style w:type="character" w:styleId="CommentReference">
    <w:name w:val="annotation reference"/>
    <w:basedOn w:val="DefaultParagraphFont"/>
    <w:uiPriority w:val="99"/>
    <w:semiHidden/>
    <w:unhideWhenUsed/>
    <w:rsid w:val="009D0799"/>
    <w:rPr>
      <w:sz w:val="16"/>
      <w:szCs w:val="16"/>
    </w:rPr>
  </w:style>
  <w:style w:type="paragraph" w:styleId="CommentText">
    <w:name w:val="annotation text"/>
    <w:basedOn w:val="Normal"/>
    <w:link w:val="CommentTextChar"/>
    <w:uiPriority w:val="99"/>
    <w:unhideWhenUsed/>
    <w:rsid w:val="009D0799"/>
    <w:rPr>
      <w:sz w:val="20"/>
      <w:szCs w:val="20"/>
    </w:rPr>
  </w:style>
  <w:style w:type="character" w:customStyle="1" w:styleId="CommentTextChar">
    <w:name w:val="Comment Text Char"/>
    <w:basedOn w:val="DefaultParagraphFont"/>
    <w:link w:val="CommentText"/>
    <w:uiPriority w:val="99"/>
    <w:rsid w:val="009D0799"/>
  </w:style>
  <w:style w:type="paragraph" w:styleId="CommentSubject">
    <w:name w:val="annotation subject"/>
    <w:basedOn w:val="CommentText"/>
    <w:next w:val="CommentText"/>
    <w:link w:val="CommentSubjectChar"/>
    <w:uiPriority w:val="99"/>
    <w:semiHidden/>
    <w:unhideWhenUsed/>
    <w:rsid w:val="009D0799"/>
    <w:rPr>
      <w:b/>
      <w:bCs/>
    </w:rPr>
  </w:style>
  <w:style w:type="character" w:customStyle="1" w:styleId="CommentSubjectChar">
    <w:name w:val="Comment Subject Char"/>
    <w:basedOn w:val="CommentTextChar"/>
    <w:link w:val="CommentSubject"/>
    <w:uiPriority w:val="99"/>
    <w:semiHidden/>
    <w:rsid w:val="009D0799"/>
    <w:rPr>
      <w:b/>
      <w:bCs/>
    </w:rPr>
  </w:style>
  <w:style w:type="paragraph" w:styleId="BalloonText">
    <w:name w:val="Balloon Text"/>
    <w:basedOn w:val="Normal"/>
    <w:link w:val="BalloonTextChar"/>
    <w:uiPriority w:val="99"/>
    <w:semiHidden/>
    <w:unhideWhenUsed/>
    <w:rsid w:val="009D0799"/>
    <w:rPr>
      <w:rFonts w:ascii="Tahoma" w:hAnsi="Tahoma" w:cs="Tahoma"/>
      <w:sz w:val="16"/>
      <w:szCs w:val="16"/>
    </w:rPr>
  </w:style>
  <w:style w:type="character" w:customStyle="1" w:styleId="BalloonTextChar">
    <w:name w:val="Balloon Text Char"/>
    <w:basedOn w:val="DefaultParagraphFont"/>
    <w:link w:val="BalloonText"/>
    <w:uiPriority w:val="99"/>
    <w:semiHidden/>
    <w:rsid w:val="009D0799"/>
    <w:rPr>
      <w:rFonts w:ascii="Tahoma" w:hAnsi="Tahoma" w:cs="Tahoma"/>
      <w:sz w:val="16"/>
      <w:szCs w:val="16"/>
    </w:rPr>
  </w:style>
  <w:style w:type="paragraph" w:styleId="Revision">
    <w:name w:val="Revision"/>
    <w:hidden/>
    <w:uiPriority w:val="99"/>
    <w:semiHidden/>
    <w:rsid w:val="00487C74"/>
    <w:rPr>
      <w:sz w:val="24"/>
      <w:szCs w:val="24"/>
    </w:rPr>
  </w:style>
  <w:style w:type="paragraph" w:styleId="NoSpacing">
    <w:name w:val="No Spacing"/>
    <w:uiPriority w:val="1"/>
    <w:qFormat/>
    <w:rsid w:val="00B62A64"/>
    <w:rPr>
      <w:rFonts w:ascii="Calibri" w:eastAsia="Calibri" w:hAnsi="Calibri"/>
      <w:sz w:val="22"/>
      <w:szCs w:val="22"/>
    </w:rPr>
  </w:style>
  <w:style w:type="paragraph" w:styleId="Quote">
    <w:name w:val="Quote"/>
    <w:basedOn w:val="Normal"/>
    <w:next w:val="Normal"/>
    <w:link w:val="QuoteChar"/>
    <w:uiPriority w:val="29"/>
    <w:qFormat/>
    <w:rsid w:val="00F51FA1"/>
    <w:rPr>
      <w:rFonts w:asciiTheme="minorHAnsi" w:eastAsiaTheme="minorHAnsi" w:hAnsiTheme="minorHAnsi"/>
      <w:i/>
      <w:lang w:bidi="en-US"/>
    </w:rPr>
  </w:style>
  <w:style w:type="character" w:customStyle="1" w:styleId="QuoteChar">
    <w:name w:val="Quote Char"/>
    <w:basedOn w:val="DefaultParagraphFont"/>
    <w:link w:val="Quote"/>
    <w:uiPriority w:val="29"/>
    <w:rsid w:val="00F51FA1"/>
    <w:rPr>
      <w:rFonts w:asciiTheme="minorHAnsi" w:eastAsiaTheme="minorHAnsi" w:hAnsiTheme="minorHAnsi"/>
      <w:i/>
      <w:sz w:val="24"/>
      <w:szCs w:val="24"/>
      <w:lang w:bidi="en-US"/>
    </w:rPr>
  </w:style>
  <w:style w:type="character" w:customStyle="1" w:styleId="Heading2Char">
    <w:name w:val="Heading 2 Char"/>
    <w:basedOn w:val="DefaultParagraphFont"/>
    <w:link w:val="Heading2"/>
    <w:uiPriority w:val="9"/>
    <w:semiHidden/>
    <w:rsid w:val="00846080"/>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997A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37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krmcgreer@gmail.com"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EA64AC6CBDEE4898D60C6A0859221E" ma:contentTypeVersion="0" ma:contentTypeDescription="Create a new document." ma:contentTypeScope="" ma:versionID="ae783d4e0d46c9153cb9061a6c4def0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CFEEA-CE69-410A-82AE-BE4649C251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518652C-1F9F-47FE-BCEF-95E7C962C6D4}">
  <ds:schemaRefs>
    <ds:schemaRef ds:uri="http://schemas.microsoft.com/sharepoint/v3/contenttype/forms"/>
  </ds:schemaRefs>
</ds:datastoreItem>
</file>

<file path=customXml/itemProps3.xml><?xml version="1.0" encoding="utf-8"?>
<ds:datastoreItem xmlns:ds="http://schemas.openxmlformats.org/officeDocument/2006/customXml" ds:itemID="{99FF227C-BF22-42AE-9A21-F178A5D72AEA}">
  <ds:schemaRefs>
    <ds:schemaRef ds:uri="http://schemas.microsoft.com/office/infopath/2007/PartnerControls"/>
    <ds:schemaRef ds:uri="http://schemas.microsoft.com/office/2006/metadata/properties"/>
    <ds:schemaRef ds:uri="http://purl.org/dc/elements/1.1/"/>
    <ds:schemaRef ds:uri="http://purl.org/dc/dcmitype/"/>
    <ds:schemaRef ds:uri="http://schemas.microsoft.com/office/2006/documentManagement/types"/>
    <ds:schemaRef ds:uri="http://www.w3.org/XML/1998/namespace"/>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5DCA53FB-B5CB-4394-A550-BCB91C333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6595</Words>
  <Characters>37595</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Bureau of Land Management</Company>
  <LinksUpToDate>false</LinksUpToDate>
  <CharactersWithSpaces>44102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r1wells</dc:creator>
  <cp:lastModifiedBy>Simpson, Diane M</cp:lastModifiedBy>
  <cp:revision>4</cp:revision>
  <cp:lastPrinted>2013-09-03T22:44:00Z</cp:lastPrinted>
  <dcterms:created xsi:type="dcterms:W3CDTF">2014-06-19T17:12:00Z</dcterms:created>
  <dcterms:modified xsi:type="dcterms:W3CDTF">2014-06-19T17:15:00Z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0x01010070EA64AC6CBDEE4898D60C6A0859221E</vt:lpwstr>
  </property>
  <property fmtid="{D5CDD505-2E9C-101B-9397-08002B2CF9AE}" pid="3" name="Review Results">
    <vt:lpwstr>Pending</vt:lpwstr>
  </property>
  <property fmtid="{D5CDD505-2E9C-101B-9397-08002B2CF9AE}" pid="4" name="Signed">
    <vt:lpwstr>false</vt:lpwstr>
  </property>
  <property fmtid="{D5CDD505-2E9C-101B-9397-08002B2CF9AE}" pid="5" name="Document Name">
    <vt:lpwstr>McGreer Land Exchange Feasibility Analysis</vt:lpwstr>
  </property>
  <property fmtid="{D5CDD505-2E9C-101B-9397-08002B2CF9AE}" pid="6" name="Reviewed By">
    <vt:lpwstr>Juliane Tilton</vt:lpwstr>
  </property>
  <property fmtid="{D5CDD505-2E9C-101B-9397-08002B2CF9AE}" pid="7" name="Submitted By (Office)">
    <vt:lpwstr>936.1</vt:lpwstr>
  </property>
  <property fmtid="{D5CDD505-2E9C-101B-9397-08002B2CF9AE}" pid="8" name="Date Reviewed">
    <vt:lpwstr>2012-09-20T07:00:00+00:00</vt:lpwstr>
  </property>
  <property fmtid="{D5CDD505-2E9C-101B-9397-08002B2CF9AE}" pid="9" name="Order">
    <vt:r8>14700</vt:r8>
  </property>
  <property fmtid="{D5CDD505-2E9C-101B-9397-08002B2CF9AE}" pid="10" name="_CopySource">
    <vt:lpwstr>https://partnerteamspace.blm.doi.net/sites-wo/mrmt/LandExch/ORSO/McGreer Family Land Exchange/McGreer Feas Analysis July 2013 Final.docx</vt:lpwstr>
  </property>
  <property fmtid="{D5CDD505-2E9C-101B-9397-08002B2CF9AE}" pid="11" name="xd_ProgID">
    <vt:lpwstr/>
  </property>
  <property fmtid="{D5CDD505-2E9C-101B-9397-08002B2CF9AE}" pid="12" name="TemplateUrl">
    <vt:lpwstr/>
  </property>
</Properties>
</file>